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08269" w14:textId="375961D0" w:rsidR="000017B9" w:rsidRDefault="000017B9" w:rsidP="0048757E">
      <w:pPr>
        <w:jc w:val="center"/>
        <w:rPr>
          <w:b/>
        </w:rPr>
      </w:pPr>
      <w:r>
        <w:rPr>
          <w:b/>
        </w:rPr>
        <w:t>VIDINĖS KOKYBĖS VADYBOS SIST</w:t>
      </w:r>
      <w:r w:rsidR="002733BB">
        <w:rPr>
          <w:b/>
        </w:rPr>
        <w:t>E</w:t>
      </w:r>
      <w:bookmarkStart w:id="0" w:name="_GoBack"/>
      <w:bookmarkEnd w:id="0"/>
      <w:r>
        <w:rPr>
          <w:b/>
        </w:rPr>
        <w:t>MOS</w:t>
      </w:r>
      <w:r w:rsidR="0048757E">
        <w:rPr>
          <w:b/>
        </w:rPr>
        <w:t xml:space="preserve"> </w:t>
      </w:r>
      <w:r>
        <w:rPr>
          <w:b/>
        </w:rPr>
        <w:t>VERTINAMOJI VADYBINĖ ANALIZĖ</w:t>
      </w:r>
    </w:p>
    <w:p w14:paraId="7B0A3F7A" w14:textId="77777777" w:rsidR="002946D8" w:rsidRPr="00A66A4F" w:rsidRDefault="002946D8" w:rsidP="0048757E">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8"/>
      </w:tblGrid>
      <w:tr w:rsidR="00DF3D35" w:rsidRPr="001F7296" w14:paraId="5140BC83" w14:textId="77777777" w:rsidTr="7BC4E2CD">
        <w:tc>
          <w:tcPr>
            <w:tcW w:w="9915" w:type="dxa"/>
          </w:tcPr>
          <w:p w14:paraId="56D3C4DF" w14:textId="279577EA" w:rsidR="00DF3D35" w:rsidRDefault="4E552F34" w:rsidP="46E9229C">
            <w:pPr>
              <w:jc w:val="center"/>
              <w:rPr>
                <w:noProof/>
                <w:u w:val="single"/>
                <w:lang w:val="en-GB"/>
              </w:rPr>
            </w:pPr>
            <w:r w:rsidRPr="46E9229C">
              <w:rPr>
                <w:noProof/>
                <w:u w:val="single"/>
                <w:lang w:val="en-GB"/>
              </w:rPr>
              <w:t>20</w:t>
            </w:r>
            <w:r w:rsidR="11E1F435" w:rsidRPr="46E9229C">
              <w:rPr>
                <w:noProof/>
                <w:u w:val="single"/>
                <w:lang w:val="en-GB"/>
              </w:rPr>
              <w:t>22</w:t>
            </w:r>
            <w:r w:rsidR="075FF6B5" w:rsidRPr="46E9229C">
              <w:rPr>
                <w:noProof/>
                <w:u w:val="single"/>
                <w:lang w:val="en-GB"/>
              </w:rPr>
              <w:t xml:space="preserve"> m. liepos mėn. 29 </w:t>
            </w:r>
            <w:r w:rsidRPr="46E9229C">
              <w:rPr>
                <w:noProof/>
                <w:u w:val="single"/>
                <w:lang w:val="en-GB"/>
              </w:rPr>
              <w:t>d.</w:t>
            </w:r>
          </w:p>
          <w:p w14:paraId="3E369929" w14:textId="06CA4A85" w:rsidR="5E6A69D2" w:rsidRDefault="5E6A69D2" w:rsidP="46E9229C">
            <w:pPr>
              <w:jc w:val="center"/>
              <w:rPr>
                <w:noProof/>
                <w:vertAlign w:val="superscript"/>
                <w:lang w:val="en-GB"/>
              </w:rPr>
            </w:pPr>
            <w:r w:rsidRPr="46E9229C">
              <w:rPr>
                <w:noProof/>
                <w:vertAlign w:val="superscript"/>
                <w:lang w:val="en-GB"/>
              </w:rPr>
              <w:t>(data)</w:t>
            </w:r>
          </w:p>
          <w:p w14:paraId="19998CC9" w14:textId="1994818F" w:rsidR="00E20443" w:rsidRDefault="00E20443" w:rsidP="46E9229C">
            <w:pPr>
              <w:jc w:val="center"/>
              <w:rPr>
                <w:noProof/>
                <w:vertAlign w:val="superscript"/>
                <w:lang w:val="en-GB"/>
              </w:rPr>
            </w:pPr>
          </w:p>
          <w:p w14:paraId="713AFF52" w14:textId="58A24271" w:rsidR="00E20443" w:rsidRDefault="00E20443" w:rsidP="00E20443">
            <w:pPr>
              <w:spacing w:line="360" w:lineRule="auto"/>
              <w:rPr>
                <w:b/>
                <w:noProof/>
                <w:sz w:val="24"/>
                <w:szCs w:val="24"/>
                <w:lang w:val="en-GB"/>
              </w:rPr>
            </w:pPr>
            <w:r w:rsidRPr="00E20443">
              <w:rPr>
                <w:b/>
                <w:noProof/>
                <w:sz w:val="24"/>
                <w:szCs w:val="24"/>
                <w:lang w:val="en-GB"/>
              </w:rPr>
              <w:t>Dalyviai</w:t>
            </w:r>
            <w:r>
              <w:rPr>
                <w:b/>
                <w:noProof/>
                <w:sz w:val="24"/>
                <w:szCs w:val="24"/>
                <w:lang w:val="en-GB"/>
              </w:rPr>
              <w:t>:</w:t>
            </w:r>
          </w:p>
          <w:p w14:paraId="63DBCA9B" w14:textId="116BFFB6" w:rsidR="00E20443" w:rsidRPr="002946D8" w:rsidRDefault="00E20443" w:rsidP="00550137">
            <w:pPr>
              <w:pStyle w:val="ListParagraph"/>
              <w:numPr>
                <w:ilvl w:val="0"/>
                <w:numId w:val="26"/>
              </w:numPr>
              <w:rPr>
                <w:b/>
                <w:noProof/>
                <w:sz w:val="24"/>
                <w:szCs w:val="24"/>
                <w:vertAlign w:val="superscript"/>
                <w:lang w:val="en-GB"/>
              </w:rPr>
            </w:pPr>
            <w:r w:rsidRPr="00E20443">
              <w:rPr>
                <w:noProof/>
                <w:sz w:val="24"/>
                <w:szCs w:val="24"/>
                <w:lang w:val="en-GB"/>
              </w:rPr>
              <w:t>Virg</w:t>
            </w:r>
            <w:r>
              <w:rPr>
                <w:noProof/>
                <w:sz w:val="24"/>
                <w:szCs w:val="24"/>
                <w:lang w:val="en-GB"/>
              </w:rPr>
              <w:t>inija P</w:t>
            </w:r>
            <w:r w:rsidR="00550137">
              <w:rPr>
                <w:noProof/>
                <w:sz w:val="24"/>
                <w:szCs w:val="24"/>
                <w:lang w:val="en-GB"/>
              </w:rPr>
              <w:t xml:space="preserve">utnaitė – </w:t>
            </w:r>
            <w:r>
              <w:rPr>
                <w:noProof/>
                <w:sz w:val="24"/>
                <w:szCs w:val="24"/>
                <w:lang w:val="en-GB"/>
              </w:rPr>
              <w:t>direktoriaus pavaduotoja ugdym</w:t>
            </w:r>
            <w:r w:rsidR="00FE1C87">
              <w:rPr>
                <w:noProof/>
                <w:sz w:val="24"/>
                <w:szCs w:val="24"/>
                <w:lang w:val="en-GB"/>
              </w:rPr>
              <w:t>ui, l. e. direktoriaus pareigas</w:t>
            </w:r>
            <w:r>
              <w:rPr>
                <w:noProof/>
                <w:sz w:val="24"/>
                <w:szCs w:val="24"/>
                <w:lang w:val="en-GB"/>
              </w:rPr>
              <w:t xml:space="preserve">, </w:t>
            </w:r>
            <w:r w:rsidR="00550137">
              <w:rPr>
                <w:noProof/>
                <w:sz w:val="24"/>
                <w:szCs w:val="24"/>
                <w:lang w:val="en-GB"/>
              </w:rPr>
              <w:t xml:space="preserve">KVS proceso </w:t>
            </w:r>
            <w:r w:rsidR="00550137">
              <w:rPr>
                <w:i/>
                <w:noProof/>
                <w:sz w:val="24"/>
                <w:szCs w:val="24"/>
                <w:lang w:val="en-GB"/>
              </w:rPr>
              <w:t>Ugdymo proceso įgyvendinimas</w:t>
            </w:r>
            <w:r w:rsidR="00550137">
              <w:rPr>
                <w:noProof/>
                <w:sz w:val="24"/>
                <w:szCs w:val="24"/>
                <w:lang w:val="en-GB"/>
              </w:rPr>
              <w:t xml:space="preserve"> šeimininkė.</w:t>
            </w:r>
          </w:p>
          <w:p w14:paraId="08B693C2" w14:textId="2757ADC3" w:rsidR="002946D8" w:rsidRPr="00E20443" w:rsidRDefault="002946D8" w:rsidP="00550137">
            <w:pPr>
              <w:pStyle w:val="ListParagraph"/>
              <w:numPr>
                <w:ilvl w:val="0"/>
                <w:numId w:val="26"/>
              </w:numPr>
              <w:rPr>
                <w:b/>
                <w:noProof/>
                <w:sz w:val="24"/>
                <w:szCs w:val="24"/>
                <w:vertAlign w:val="superscript"/>
                <w:lang w:val="en-GB"/>
              </w:rPr>
            </w:pPr>
            <w:r>
              <w:rPr>
                <w:noProof/>
                <w:sz w:val="24"/>
                <w:szCs w:val="24"/>
                <w:lang w:val="en-GB"/>
              </w:rPr>
              <w:t>Violeta Adomavičienė – vyr. buhalterė.</w:t>
            </w:r>
          </w:p>
          <w:p w14:paraId="461B6C19" w14:textId="1D10608B" w:rsidR="00E20443" w:rsidRDefault="00550137" w:rsidP="00550137">
            <w:pPr>
              <w:pStyle w:val="ListParagraph"/>
              <w:numPr>
                <w:ilvl w:val="0"/>
                <w:numId w:val="26"/>
              </w:numPr>
              <w:rPr>
                <w:noProof/>
                <w:sz w:val="24"/>
                <w:szCs w:val="24"/>
                <w:lang w:val="en-GB"/>
              </w:rPr>
            </w:pPr>
            <w:r>
              <w:rPr>
                <w:noProof/>
                <w:sz w:val="24"/>
                <w:szCs w:val="24"/>
                <w:lang w:val="en-GB"/>
              </w:rPr>
              <w:t>Vitalij Zaleskij – Informacinių ir vizualinių technologijų skyriaus vedėjas.</w:t>
            </w:r>
          </w:p>
          <w:p w14:paraId="185471F1" w14:textId="6BBCBB60" w:rsidR="00550137" w:rsidRDefault="00550137" w:rsidP="00550137">
            <w:pPr>
              <w:pStyle w:val="ListParagraph"/>
              <w:numPr>
                <w:ilvl w:val="0"/>
                <w:numId w:val="26"/>
              </w:numPr>
              <w:rPr>
                <w:noProof/>
                <w:sz w:val="24"/>
                <w:szCs w:val="24"/>
                <w:lang w:val="en-GB"/>
              </w:rPr>
            </w:pPr>
            <w:r>
              <w:rPr>
                <w:noProof/>
                <w:sz w:val="24"/>
                <w:szCs w:val="24"/>
                <w:lang w:val="en-GB"/>
              </w:rPr>
              <w:t>Marina Aladovičienė – Bendrojo ugdymo (gimnazijos) skyriaus vedėja</w:t>
            </w:r>
            <w:r w:rsidR="002946D8">
              <w:rPr>
                <w:noProof/>
                <w:sz w:val="24"/>
                <w:szCs w:val="24"/>
                <w:lang w:val="en-GB"/>
              </w:rPr>
              <w:t xml:space="preserve">, KVS proceso </w:t>
            </w:r>
            <w:r w:rsidR="002946D8">
              <w:rPr>
                <w:i/>
                <w:noProof/>
                <w:sz w:val="24"/>
                <w:szCs w:val="24"/>
                <w:lang w:val="en-GB"/>
              </w:rPr>
              <w:t>Pagalba mokiniui</w:t>
            </w:r>
            <w:r w:rsidR="002946D8">
              <w:rPr>
                <w:noProof/>
                <w:sz w:val="24"/>
                <w:szCs w:val="24"/>
                <w:lang w:val="en-GB"/>
              </w:rPr>
              <w:t xml:space="preserve"> šeimininkė.</w:t>
            </w:r>
          </w:p>
          <w:p w14:paraId="426D3FF2" w14:textId="642FD346" w:rsidR="002946D8" w:rsidRDefault="002946D8" w:rsidP="00550137">
            <w:pPr>
              <w:pStyle w:val="ListParagraph"/>
              <w:numPr>
                <w:ilvl w:val="0"/>
                <w:numId w:val="26"/>
              </w:numPr>
              <w:rPr>
                <w:noProof/>
                <w:sz w:val="24"/>
                <w:szCs w:val="24"/>
                <w:lang w:val="en-GB"/>
              </w:rPr>
            </w:pPr>
            <w:r>
              <w:rPr>
                <w:noProof/>
                <w:sz w:val="24"/>
                <w:szCs w:val="24"/>
                <w:lang w:val="en-GB"/>
              </w:rPr>
              <w:t>Aleksandr Osokin – Energetikos ir mechatronikos skyriaus vedėjas.</w:t>
            </w:r>
          </w:p>
          <w:p w14:paraId="19C90910" w14:textId="793A07D3" w:rsidR="002946D8" w:rsidRDefault="00FE1C87" w:rsidP="00550137">
            <w:pPr>
              <w:pStyle w:val="ListParagraph"/>
              <w:numPr>
                <w:ilvl w:val="0"/>
                <w:numId w:val="26"/>
              </w:numPr>
              <w:rPr>
                <w:noProof/>
                <w:sz w:val="24"/>
                <w:szCs w:val="24"/>
                <w:lang w:val="en-GB"/>
              </w:rPr>
            </w:pPr>
            <w:r>
              <w:rPr>
                <w:noProof/>
                <w:sz w:val="24"/>
                <w:szCs w:val="24"/>
                <w:lang w:val="en-GB"/>
              </w:rPr>
              <w:t xml:space="preserve">Dovilė Plankienė – sekretorė, l. e. personalo specialistės pareigas, KVS proceso </w:t>
            </w:r>
            <w:r>
              <w:rPr>
                <w:i/>
                <w:noProof/>
                <w:sz w:val="24"/>
                <w:szCs w:val="24"/>
                <w:lang w:val="en-GB"/>
              </w:rPr>
              <w:t>Personalo valdymas</w:t>
            </w:r>
            <w:r>
              <w:rPr>
                <w:noProof/>
                <w:sz w:val="24"/>
                <w:szCs w:val="24"/>
                <w:lang w:val="en-GB"/>
              </w:rPr>
              <w:t xml:space="preserve"> šeimininkė.</w:t>
            </w:r>
          </w:p>
          <w:p w14:paraId="424B1B2B" w14:textId="24B9035E" w:rsidR="00FE1C87" w:rsidRPr="00550137" w:rsidRDefault="00FE1C87" w:rsidP="00550137">
            <w:pPr>
              <w:pStyle w:val="ListParagraph"/>
              <w:numPr>
                <w:ilvl w:val="0"/>
                <w:numId w:val="26"/>
              </w:numPr>
              <w:rPr>
                <w:noProof/>
                <w:sz w:val="24"/>
                <w:szCs w:val="24"/>
                <w:lang w:val="en-GB"/>
              </w:rPr>
            </w:pPr>
            <w:r>
              <w:rPr>
                <w:noProof/>
                <w:sz w:val="24"/>
                <w:szCs w:val="24"/>
                <w:lang w:val="en-GB"/>
              </w:rPr>
              <w:t xml:space="preserve">Toma Grabauskaitė – metodininkė, KVS proceso </w:t>
            </w:r>
            <w:r>
              <w:rPr>
                <w:i/>
                <w:noProof/>
                <w:sz w:val="24"/>
                <w:szCs w:val="24"/>
                <w:lang w:val="en-GB"/>
              </w:rPr>
              <w:t>Pokyčių valdymas</w:t>
            </w:r>
            <w:r>
              <w:rPr>
                <w:noProof/>
                <w:sz w:val="24"/>
                <w:szCs w:val="24"/>
                <w:lang w:val="en-GB"/>
              </w:rPr>
              <w:t xml:space="preserve"> šeimininkė.</w:t>
            </w:r>
          </w:p>
          <w:p w14:paraId="17DE9682" w14:textId="693706E6" w:rsidR="00FA7065" w:rsidRPr="00FA7065" w:rsidRDefault="00FA7065" w:rsidP="00E20443">
            <w:pPr>
              <w:rPr>
                <w:noProof/>
                <w:szCs w:val="24"/>
                <w:vertAlign w:val="superscript"/>
                <w:lang w:val="en-GB"/>
              </w:rPr>
            </w:pPr>
          </w:p>
        </w:tc>
      </w:tr>
      <w:tr w:rsidR="00DF3D35" w:rsidRPr="001F7296" w14:paraId="2B17DEC6" w14:textId="77777777" w:rsidTr="7BC4E2CD">
        <w:tc>
          <w:tcPr>
            <w:tcW w:w="9915" w:type="dxa"/>
          </w:tcPr>
          <w:tbl>
            <w:tblPr>
              <w:tblStyle w:val="TableGrid"/>
              <w:tblW w:w="14202" w:type="dxa"/>
              <w:tblLook w:val="0600" w:firstRow="0" w:lastRow="0" w:firstColumn="0" w:lastColumn="0" w:noHBand="1" w:noVBand="1"/>
            </w:tblPr>
            <w:tblGrid>
              <w:gridCol w:w="1606"/>
              <w:gridCol w:w="1577"/>
              <w:gridCol w:w="5773"/>
              <w:gridCol w:w="2204"/>
              <w:gridCol w:w="1579"/>
              <w:gridCol w:w="1463"/>
            </w:tblGrid>
            <w:tr w:rsidR="00476CA0" w14:paraId="6858AD4E" w14:textId="77777777" w:rsidTr="7BC4E2CD">
              <w:trPr>
                <w:trHeight w:val="509"/>
                <w:tblHeader/>
              </w:trPr>
              <w:tc>
                <w:tcPr>
                  <w:tcW w:w="565" w:type="pct"/>
                  <w:shd w:val="clear" w:color="auto" w:fill="F2F2F2" w:themeFill="background1" w:themeFillShade="F2"/>
                  <w:vAlign w:val="center"/>
                </w:tcPr>
                <w:p w14:paraId="764C53D5" w14:textId="0ABF8A59" w:rsidR="004455BE" w:rsidRPr="00681C4E" w:rsidRDefault="004455BE" w:rsidP="004455BE">
                  <w:pPr>
                    <w:jc w:val="center"/>
                    <w:rPr>
                      <w:b/>
                      <w:noProof/>
                      <w:lang w:val="en-GB"/>
                    </w:rPr>
                  </w:pPr>
                  <w:r w:rsidRPr="00681C4E">
                    <w:rPr>
                      <w:b/>
                      <w:noProof/>
                      <w:lang w:val="en-GB"/>
                    </w:rPr>
                    <w:t>Tema</w:t>
                  </w:r>
                </w:p>
              </w:tc>
              <w:tc>
                <w:tcPr>
                  <w:tcW w:w="555" w:type="pct"/>
                  <w:shd w:val="clear" w:color="auto" w:fill="F2F2F2" w:themeFill="background1" w:themeFillShade="F2"/>
                  <w:vAlign w:val="center"/>
                </w:tcPr>
                <w:p w14:paraId="6938F68E" w14:textId="6EA97DDD" w:rsidR="004455BE" w:rsidRPr="00681C4E" w:rsidRDefault="0029093D" w:rsidP="00EE4D89">
                  <w:pPr>
                    <w:jc w:val="center"/>
                    <w:rPr>
                      <w:b/>
                      <w:noProof/>
                      <w:lang w:val="en-GB"/>
                    </w:rPr>
                  </w:pPr>
                  <w:r w:rsidRPr="00681C4E">
                    <w:rPr>
                      <w:b/>
                      <w:noProof/>
                      <w:lang w:val="en-GB"/>
                    </w:rPr>
                    <w:t>D</w:t>
                  </w:r>
                  <w:r w:rsidR="00EE4D89" w:rsidRPr="00681C4E">
                    <w:rPr>
                      <w:b/>
                      <w:noProof/>
                      <w:lang w:val="en-GB"/>
                    </w:rPr>
                    <w:t>okumentuota informacija</w:t>
                  </w:r>
                </w:p>
              </w:tc>
              <w:tc>
                <w:tcPr>
                  <w:tcW w:w="2032" w:type="pct"/>
                  <w:shd w:val="clear" w:color="auto" w:fill="F2F2F2" w:themeFill="background1" w:themeFillShade="F2"/>
                  <w:vAlign w:val="center"/>
                </w:tcPr>
                <w:p w14:paraId="4957A03E" w14:textId="43A231C4" w:rsidR="004455BE" w:rsidRPr="00681C4E" w:rsidRDefault="004455BE" w:rsidP="004455BE">
                  <w:pPr>
                    <w:jc w:val="center"/>
                    <w:rPr>
                      <w:b/>
                      <w:noProof/>
                      <w:lang w:val="en-GB"/>
                    </w:rPr>
                  </w:pPr>
                  <w:r w:rsidRPr="00681C4E">
                    <w:rPr>
                      <w:b/>
                      <w:noProof/>
                      <w:lang w:val="en-GB"/>
                    </w:rPr>
                    <w:t>Išvados</w:t>
                  </w:r>
                </w:p>
              </w:tc>
              <w:tc>
                <w:tcPr>
                  <w:tcW w:w="776" w:type="pct"/>
                  <w:shd w:val="clear" w:color="auto" w:fill="F2F2F2" w:themeFill="background1" w:themeFillShade="F2"/>
                  <w:vAlign w:val="center"/>
                </w:tcPr>
                <w:p w14:paraId="41AB51A0" w14:textId="48667D61" w:rsidR="004455BE" w:rsidRPr="00681C4E" w:rsidRDefault="004455BE" w:rsidP="004455BE">
                  <w:pPr>
                    <w:jc w:val="center"/>
                    <w:rPr>
                      <w:b/>
                      <w:noProof/>
                      <w:lang w:val="en-GB"/>
                    </w:rPr>
                  </w:pPr>
                  <w:r w:rsidRPr="00681C4E">
                    <w:rPr>
                      <w:b/>
                      <w:noProof/>
                      <w:lang w:val="en-GB"/>
                    </w:rPr>
                    <w:t>Sprendimai</w:t>
                  </w:r>
                </w:p>
              </w:tc>
              <w:tc>
                <w:tcPr>
                  <w:tcW w:w="556" w:type="pct"/>
                  <w:shd w:val="clear" w:color="auto" w:fill="F2F2F2" w:themeFill="background1" w:themeFillShade="F2"/>
                  <w:vAlign w:val="center"/>
                </w:tcPr>
                <w:p w14:paraId="64673E90" w14:textId="73AA4399" w:rsidR="004455BE" w:rsidRPr="00681C4E" w:rsidRDefault="004455BE" w:rsidP="004455BE">
                  <w:pPr>
                    <w:jc w:val="center"/>
                    <w:rPr>
                      <w:b/>
                      <w:noProof/>
                      <w:lang w:val="en-GB"/>
                    </w:rPr>
                  </w:pPr>
                  <w:r w:rsidRPr="00681C4E">
                    <w:rPr>
                      <w:b/>
                      <w:noProof/>
                      <w:lang w:val="en-GB"/>
                    </w:rPr>
                    <w:t>Atsakingas</w:t>
                  </w:r>
                </w:p>
              </w:tc>
              <w:tc>
                <w:tcPr>
                  <w:tcW w:w="515" w:type="pct"/>
                  <w:shd w:val="clear" w:color="auto" w:fill="F2F2F2" w:themeFill="background1" w:themeFillShade="F2"/>
                  <w:vAlign w:val="center"/>
                </w:tcPr>
                <w:p w14:paraId="67D8198A" w14:textId="5F080898" w:rsidR="004455BE" w:rsidRPr="00681C4E" w:rsidRDefault="004455BE" w:rsidP="004455BE">
                  <w:pPr>
                    <w:jc w:val="center"/>
                    <w:rPr>
                      <w:b/>
                      <w:noProof/>
                      <w:lang w:val="en-GB"/>
                    </w:rPr>
                  </w:pPr>
                  <w:r w:rsidRPr="00681C4E">
                    <w:rPr>
                      <w:b/>
                      <w:noProof/>
                      <w:lang w:val="en-GB"/>
                    </w:rPr>
                    <w:t>Terminas</w:t>
                  </w:r>
                </w:p>
              </w:tc>
            </w:tr>
            <w:tr w:rsidR="00476CA0" w14:paraId="78C58FF5" w14:textId="77777777" w:rsidTr="7BC4E2CD">
              <w:trPr>
                <w:trHeight w:val="790"/>
              </w:trPr>
              <w:tc>
                <w:tcPr>
                  <w:tcW w:w="565" w:type="pct"/>
                  <w:vMerge w:val="restart"/>
                  <w:vAlign w:val="center"/>
                </w:tcPr>
                <w:p w14:paraId="2CFD71F0" w14:textId="4C727B26" w:rsidR="000F7DC4" w:rsidRPr="00681C4E" w:rsidRDefault="000F7DC4" w:rsidP="0021651E">
                  <w:pPr>
                    <w:rPr>
                      <w:noProof/>
                      <w:lang w:val="en-GB"/>
                    </w:rPr>
                  </w:pPr>
                  <w:r w:rsidRPr="00681C4E">
                    <w:rPr>
                      <w:noProof/>
                      <w:lang w:val="en-GB"/>
                    </w:rPr>
                    <w:t>Praėjusių metų vertinamosios analizės nutarimų vykdymas.</w:t>
                  </w:r>
                </w:p>
              </w:tc>
              <w:tc>
                <w:tcPr>
                  <w:tcW w:w="555" w:type="pct"/>
                  <w:vMerge w:val="restart"/>
                  <w:vAlign w:val="center"/>
                </w:tcPr>
                <w:p w14:paraId="1208CD8C" w14:textId="4FB8972E" w:rsidR="000F7DC4" w:rsidRPr="00966642" w:rsidRDefault="006E1277" w:rsidP="0021651E">
                  <w:pPr>
                    <w:rPr>
                      <w:noProof/>
                      <w:lang w:val="en-GB"/>
                    </w:rPr>
                  </w:pPr>
                  <w:hyperlink r:id="rId7" w:history="1">
                    <w:r w:rsidR="000F7DC4" w:rsidRPr="00966642">
                      <w:rPr>
                        <w:rStyle w:val="Hyperlink"/>
                        <w:noProof/>
                        <w:lang w:val="en-GB"/>
                      </w:rPr>
                      <w:t>2021-03-02, Nr. V10-3 Vadovų posėdžio protokolas</w:t>
                    </w:r>
                  </w:hyperlink>
                  <w:r w:rsidR="000F7DC4" w:rsidRPr="00966642">
                    <w:rPr>
                      <w:noProof/>
                      <w:lang w:val="en-GB"/>
                    </w:rPr>
                    <w:t>.</w:t>
                  </w:r>
                </w:p>
              </w:tc>
              <w:tc>
                <w:tcPr>
                  <w:tcW w:w="2032" w:type="pct"/>
                  <w:vAlign w:val="center"/>
                </w:tcPr>
                <w:p w14:paraId="76C220AA" w14:textId="105BB305" w:rsidR="000F7DC4" w:rsidRPr="000F7DC4" w:rsidRDefault="23847499" w:rsidP="000F7DC4">
                  <w:pPr>
                    <w:jc w:val="both"/>
                    <w:rPr>
                      <w:noProof/>
                      <w:lang w:val="en-US"/>
                    </w:rPr>
                  </w:pPr>
                  <w:r w:rsidRPr="46E9229C">
                    <w:rPr>
                      <w:noProof/>
                      <w:lang w:val="en-US"/>
                    </w:rPr>
                    <w:t xml:space="preserve">Remiantis išorės vertinimo metodika visos VTMC vykdomos apklausos, tame tarpe ir mokinių, buvo atnaujintos. Klausimynų turinys atliepia tiek organizacijos strateginius, tiek išorės vertinimo rodiklius. </w:t>
                  </w:r>
                </w:p>
              </w:tc>
              <w:tc>
                <w:tcPr>
                  <w:tcW w:w="776" w:type="pct"/>
                  <w:vAlign w:val="center"/>
                </w:tcPr>
                <w:p w14:paraId="106C0B6D" w14:textId="728381BC" w:rsidR="000F7DC4" w:rsidRPr="00681C4E" w:rsidRDefault="00EE13C0" w:rsidP="00EE13C0">
                  <w:pPr>
                    <w:rPr>
                      <w:noProof/>
                      <w:lang w:val="en-GB"/>
                    </w:rPr>
                  </w:pPr>
                  <w:r>
                    <w:rPr>
                      <w:noProof/>
                      <w:lang w:val="en-GB"/>
                    </w:rPr>
                    <w:t>Pokytis vertinamas teigiamai.</w:t>
                  </w:r>
                </w:p>
              </w:tc>
              <w:tc>
                <w:tcPr>
                  <w:tcW w:w="556" w:type="pct"/>
                  <w:vAlign w:val="center"/>
                </w:tcPr>
                <w:p w14:paraId="1BFF1D35" w14:textId="5DAB7602" w:rsidR="000F7DC4" w:rsidRPr="00681C4E" w:rsidRDefault="00EE13C0" w:rsidP="009E65D7">
                  <w:pPr>
                    <w:jc w:val="center"/>
                    <w:rPr>
                      <w:noProof/>
                      <w:lang w:val="en-GB"/>
                    </w:rPr>
                  </w:pPr>
                  <w:r>
                    <w:rPr>
                      <w:noProof/>
                      <w:lang w:val="en-GB"/>
                    </w:rPr>
                    <w:t>x</w:t>
                  </w:r>
                </w:p>
              </w:tc>
              <w:tc>
                <w:tcPr>
                  <w:tcW w:w="515" w:type="pct"/>
                  <w:vAlign w:val="center"/>
                </w:tcPr>
                <w:p w14:paraId="25102E1B" w14:textId="19634EDC" w:rsidR="000F7DC4" w:rsidRPr="00681C4E" w:rsidRDefault="00EE13C0" w:rsidP="009E65D7">
                  <w:pPr>
                    <w:jc w:val="center"/>
                    <w:rPr>
                      <w:noProof/>
                      <w:lang w:val="en-GB"/>
                    </w:rPr>
                  </w:pPr>
                  <w:r>
                    <w:rPr>
                      <w:noProof/>
                      <w:lang w:val="en-GB"/>
                    </w:rPr>
                    <w:t>x</w:t>
                  </w:r>
                </w:p>
              </w:tc>
            </w:tr>
            <w:tr w:rsidR="00476CA0" w14:paraId="39A45AC6" w14:textId="77777777" w:rsidTr="7BC4E2CD">
              <w:trPr>
                <w:trHeight w:val="840"/>
              </w:trPr>
              <w:tc>
                <w:tcPr>
                  <w:tcW w:w="565" w:type="pct"/>
                  <w:vMerge/>
                  <w:vAlign w:val="center"/>
                </w:tcPr>
                <w:p w14:paraId="0A43E306" w14:textId="77777777" w:rsidR="000F7DC4" w:rsidRPr="00681C4E" w:rsidRDefault="000F7DC4" w:rsidP="0021651E">
                  <w:pPr>
                    <w:rPr>
                      <w:noProof/>
                      <w:lang w:val="en-GB"/>
                    </w:rPr>
                  </w:pPr>
                </w:p>
              </w:tc>
              <w:tc>
                <w:tcPr>
                  <w:tcW w:w="555" w:type="pct"/>
                  <w:vMerge/>
                  <w:vAlign w:val="center"/>
                </w:tcPr>
                <w:p w14:paraId="69692183" w14:textId="77777777" w:rsidR="000F7DC4" w:rsidRDefault="000F7DC4" w:rsidP="0021651E">
                  <w:pPr>
                    <w:rPr>
                      <w:i/>
                      <w:noProof/>
                      <w:lang w:val="en-GB"/>
                    </w:rPr>
                  </w:pPr>
                </w:p>
              </w:tc>
              <w:tc>
                <w:tcPr>
                  <w:tcW w:w="2032" w:type="pct"/>
                  <w:vAlign w:val="center"/>
                </w:tcPr>
                <w:p w14:paraId="0137919C" w14:textId="1F540175" w:rsidR="000F7DC4" w:rsidRPr="002B119E" w:rsidRDefault="000F7DC4" w:rsidP="000F7DC4">
                  <w:pPr>
                    <w:jc w:val="both"/>
                    <w:rPr>
                      <w:noProof/>
                      <w:lang w:val="en-US"/>
                    </w:rPr>
                  </w:pPr>
                  <w:r w:rsidRPr="002B119E">
                    <w:rPr>
                      <w:noProof/>
                      <w:lang w:val="en-US"/>
                    </w:rPr>
                    <w:t xml:space="preserve">Nustatytos ir įvertintos rizikos, numatyti jų neutralizavimo veiksmai (žr. temos </w:t>
                  </w:r>
                  <w:r w:rsidRPr="002B119E">
                    <w:rPr>
                      <w:i/>
                      <w:noProof/>
                      <w:lang w:val="en-GB"/>
                    </w:rPr>
                    <w:t xml:space="preserve">Rizikų ir galimybių valdymas </w:t>
                  </w:r>
                  <w:r w:rsidRPr="002B119E">
                    <w:rPr>
                      <w:noProof/>
                      <w:lang w:val="en-GB"/>
                    </w:rPr>
                    <w:t xml:space="preserve">dokumentuotą informaciją). Tiesa, esama rizikos nustatymo ir vertinimo sistemos lyginant su VTMC vidaus kontrolės skirtumų, kuriuos rekomenduotina suvienodinti. </w:t>
                  </w:r>
                </w:p>
              </w:tc>
              <w:tc>
                <w:tcPr>
                  <w:tcW w:w="776" w:type="pct"/>
                  <w:vAlign w:val="center"/>
                </w:tcPr>
                <w:p w14:paraId="4BD9BA2E" w14:textId="58EFCC1D" w:rsidR="000F7DC4" w:rsidRPr="00681C4E" w:rsidRDefault="00AE12BD" w:rsidP="008D2A55">
                  <w:pPr>
                    <w:rPr>
                      <w:noProof/>
                      <w:lang w:val="en-GB"/>
                    </w:rPr>
                  </w:pPr>
                  <w:r>
                    <w:rPr>
                      <w:noProof/>
                      <w:lang w:val="en-GB"/>
                    </w:rPr>
                    <w:t>Reorganizacijo</w:t>
                  </w:r>
                  <w:r w:rsidR="002E7458">
                    <w:rPr>
                      <w:noProof/>
                      <w:lang w:val="en-GB"/>
                    </w:rPr>
                    <w:t>s metu pasinaudoti gerosiomis praktikomis ir atnaujinti procesus pagal poreikį.</w:t>
                  </w:r>
                </w:p>
              </w:tc>
              <w:tc>
                <w:tcPr>
                  <w:tcW w:w="556" w:type="pct"/>
                  <w:vAlign w:val="center"/>
                </w:tcPr>
                <w:p w14:paraId="7AC84C80" w14:textId="4F723F82" w:rsidR="000F7DC4" w:rsidRPr="00681C4E" w:rsidRDefault="46E9229C" w:rsidP="0021651E">
                  <w:pPr>
                    <w:rPr>
                      <w:noProof/>
                      <w:lang w:val="en-GB"/>
                    </w:rPr>
                  </w:pPr>
                  <w:r w:rsidRPr="46E9229C">
                    <w:rPr>
                      <w:noProof/>
                      <w:lang w:val="en-GB"/>
                    </w:rPr>
                    <w:t>Metodininkas</w:t>
                  </w:r>
                </w:p>
              </w:tc>
              <w:tc>
                <w:tcPr>
                  <w:tcW w:w="515" w:type="pct"/>
                  <w:vAlign w:val="center"/>
                </w:tcPr>
                <w:p w14:paraId="712BD557" w14:textId="5F794AEF" w:rsidR="000F7DC4" w:rsidRPr="00681C4E" w:rsidRDefault="46E9229C" w:rsidP="0021651E">
                  <w:pPr>
                    <w:rPr>
                      <w:noProof/>
                      <w:lang w:val="en-GB"/>
                    </w:rPr>
                  </w:pPr>
                  <w:r w:rsidRPr="46E9229C">
                    <w:rPr>
                      <w:noProof/>
                      <w:lang w:val="en-GB"/>
                    </w:rPr>
                    <w:t>2022-12-30</w:t>
                  </w:r>
                </w:p>
              </w:tc>
            </w:tr>
            <w:tr w:rsidR="00476CA0" w14:paraId="17312886" w14:textId="77777777" w:rsidTr="7BC4E2CD">
              <w:trPr>
                <w:trHeight w:val="1447"/>
              </w:trPr>
              <w:tc>
                <w:tcPr>
                  <w:tcW w:w="565" w:type="pct"/>
                  <w:vMerge/>
                  <w:vAlign w:val="center"/>
                </w:tcPr>
                <w:p w14:paraId="6365B540" w14:textId="77777777" w:rsidR="000F7DC4" w:rsidRPr="00681C4E" w:rsidRDefault="000F7DC4" w:rsidP="0021651E">
                  <w:pPr>
                    <w:rPr>
                      <w:noProof/>
                      <w:lang w:val="en-GB"/>
                    </w:rPr>
                  </w:pPr>
                </w:p>
              </w:tc>
              <w:tc>
                <w:tcPr>
                  <w:tcW w:w="555" w:type="pct"/>
                  <w:vMerge/>
                  <w:vAlign w:val="center"/>
                </w:tcPr>
                <w:p w14:paraId="4FE74B4D" w14:textId="77777777" w:rsidR="000F7DC4" w:rsidRDefault="000F7DC4" w:rsidP="0021651E">
                  <w:pPr>
                    <w:rPr>
                      <w:i/>
                      <w:noProof/>
                      <w:lang w:val="en-GB"/>
                    </w:rPr>
                  </w:pPr>
                </w:p>
              </w:tc>
              <w:tc>
                <w:tcPr>
                  <w:tcW w:w="2032" w:type="pct"/>
                  <w:vAlign w:val="center"/>
                </w:tcPr>
                <w:p w14:paraId="7740B278" w14:textId="69350E69" w:rsidR="000F7DC4" w:rsidRPr="002B119E" w:rsidRDefault="000F7DC4" w:rsidP="000F7DC4">
                  <w:pPr>
                    <w:jc w:val="both"/>
                    <w:rPr>
                      <w:noProof/>
                      <w:lang w:val="en-US"/>
                    </w:rPr>
                  </w:pPr>
                  <w:r w:rsidRPr="002B119E">
                    <w:rPr>
                      <w:noProof/>
                      <w:lang w:val="en-US"/>
                    </w:rPr>
                    <w:t xml:space="preserve">Mokymosi sutarties nutraukimo oficialios priežastys fiksuojamos mokinio prašyme. Preziumuojamos prielaidos, kad oficialios priežastys nėra tiksrosios, tyrimas nebuvo inicijuotas (netinkamai suveikė užduočių valdymo procedūra – neįtraukta užduotis pasimiršo). Rekomenduotina </w:t>
                  </w:r>
                  <w:r>
                    <w:rPr>
                      <w:noProof/>
                      <w:lang w:val="en-US"/>
                    </w:rPr>
                    <w:t xml:space="preserve">įvertinti šios informacijos rinkimo ir analizės aktualumą bei vykdymo mechanizmą KVS proceso </w:t>
                  </w:r>
                  <w:r>
                    <w:rPr>
                      <w:i/>
                      <w:noProof/>
                      <w:lang w:val="en-US"/>
                    </w:rPr>
                    <w:t>Pagalba mokiniui</w:t>
                  </w:r>
                  <w:r>
                    <w:rPr>
                      <w:noProof/>
                      <w:lang w:val="en-US"/>
                    </w:rPr>
                    <w:t xml:space="preserve"> kontekste.</w:t>
                  </w:r>
                </w:p>
              </w:tc>
              <w:tc>
                <w:tcPr>
                  <w:tcW w:w="776" w:type="pct"/>
                  <w:vAlign w:val="center"/>
                </w:tcPr>
                <w:p w14:paraId="080B9C35" w14:textId="469EECED" w:rsidR="000F7DC4" w:rsidRPr="00681C4E" w:rsidRDefault="002E7458" w:rsidP="00562282">
                  <w:pPr>
                    <w:rPr>
                      <w:noProof/>
                      <w:lang w:val="en-GB"/>
                    </w:rPr>
                  </w:pPr>
                  <w:r>
                    <w:rPr>
                      <w:noProof/>
                      <w:lang w:val="en-GB"/>
                    </w:rPr>
                    <w:t>Esama praktika yra pakankama</w:t>
                  </w:r>
                  <w:r w:rsidR="00562282">
                    <w:rPr>
                      <w:noProof/>
                      <w:lang w:val="en-GB"/>
                    </w:rPr>
                    <w:t>.</w:t>
                  </w:r>
                </w:p>
              </w:tc>
              <w:tc>
                <w:tcPr>
                  <w:tcW w:w="556" w:type="pct"/>
                  <w:vAlign w:val="center"/>
                </w:tcPr>
                <w:p w14:paraId="40746569" w14:textId="1CC44634" w:rsidR="000F7DC4" w:rsidRPr="00681C4E" w:rsidRDefault="00E96D23" w:rsidP="00E96D23">
                  <w:pPr>
                    <w:jc w:val="center"/>
                    <w:rPr>
                      <w:noProof/>
                      <w:lang w:val="en-GB"/>
                    </w:rPr>
                  </w:pPr>
                  <w:r>
                    <w:rPr>
                      <w:noProof/>
                      <w:lang w:val="en-GB"/>
                    </w:rPr>
                    <w:t>x</w:t>
                  </w:r>
                </w:p>
              </w:tc>
              <w:tc>
                <w:tcPr>
                  <w:tcW w:w="515" w:type="pct"/>
                  <w:vAlign w:val="center"/>
                </w:tcPr>
                <w:p w14:paraId="4C6343E9" w14:textId="4D22BB48" w:rsidR="000F7DC4" w:rsidRPr="00681C4E" w:rsidRDefault="00E96D23" w:rsidP="00E96D23">
                  <w:pPr>
                    <w:jc w:val="center"/>
                    <w:rPr>
                      <w:noProof/>
                      <w:lang w:val="en-GB"/>
                    </w:rPr>
                  </w:pPr>
                  <w:r>
                    <w:rPr>
                      <w:noProof/>
                      <w:lang w:val="en-GB"/>
                    </w:rPr>
                    <w:t>x</w:t>
                  </w:r>
                </w:p>
              </w:tc>
            </w:tr>
            <w:tr w:rsidR="00476CA0" w14:paraId="4DFFD269" w14:textId="77777777" w:rsidTr="7BC4E2CD">
              <w:trPr>
                <w:trHeight w:val="2136"/>
              </w:trPr>
              <w:tc>
                <w:tcPr>
                  <w:tcW w:w="565" w:type="pct"/>
                  <w:vMerge/>
                  <w:vAlign w:val="center"/>
                </w:tcPr>
                <w:p w14:paraId="48FD8CAD" w14:textId="77777777" w:rsidR="00EE13C0" w:rsidRPr="00681C4E" w:rsidRDefault="00EE13C0" w:rsidP="00EE13C0">
                  <w:pPr>
                    <w:rPr>
                      <w:noProof/>
                      <w:lang w:val="en-GB"/>
                    </w:rPr>
                  </w:pPr>
                </w:p>
              </w:tc>
              <w:tc>
                <w:tcPr>
                  <w:tcW w:w="555" w:type="pct"/>
                  <w:vMerge/>
                  <w:vAlign w:val="center"/>
                </w:tcPr>
                <w:p w14:paraId="420A9580" w14:textId="77777777" w:rsidR="00EE13C0" w:rsidRDefault="00EE13C0" w:rsidP="00EE13C0">
                  <w:pPr>
                    <w:rPr>
                      <w:i/>
                      <w:noProof/>
                      <w:lang w:val="en-GB"/>
                    </w:rPr>
                  </w:pPr>
                </w:p>
              </w:tc>
              <w:tc>
                <w:tcPr>
                  <w:tcW w:w="2032" w:type="pct"/>
                  <w:vAlign w:val="center"/>
                </w:tcPr>
                <w:p w14:paraId="2B16225F" w14:textId="39240DD2" w:rsidR="00EE13C0" w:rsidRPr="005D0366" w:rsidRDefault="00EE13C0" w:rsidP="00EE13C0">
                  <w:pPr>
                    <w:jc w:val="both"/>
                    <w:rPr>
                      <w:noProof/>
                      <w:lang w:val="en-GB"/>
                    </w:rPr>
                  </w:pPr>
                  <w:r w:rsidRPr="002B119E">
                    <w:rPr>
                      <w:noProof/>
                      <w:lang w:val="en-US"/>
                    </w:rPr>
                    <w:t>Užduočių valdymo sistema sukurta ir tobulinta atsižvelgiant į nustatytas rizikas, darbuotojų atsiliepimus</w:t>
                  </w:r>
                  <w:r>
                    <w:rPr>
                      <w:noProof/>
                      <w:lang w:val="en-US"/>
                    </w:rPr>
                    <w:t xml:space="preserve"> </w:t>
                  </w:r>
                  <w:r>
                    <w:rPr>
                      <w:noProof/>
                      <w:lang w:val="en-GB"/>
                    </w:rPr>
                    <w:t xml:space="preserve">– atsisakyta </w:t>
                  </w:r>
                  <w:r>
                    <w:rPr>
                      <w:i/>
                      <w:noProof/>
                      <w:lang w:val="en-GB"/>
                    </w:rPr>
                    <w:t>KVS užduočių valdymo žurnalo</w:t>
                  </w:r>
                  <w:r>
                    <w:rPr>
                      <w:noProof/>
                      <w:lang w:val="en-GB"/>
                    </w:rPr>
                    <w:t xml:space="preserve"> kaip perteklinio įrankio vietoje to išnaudojant kolektyvui įprastus DVS užduočių valdymo funkcionalumus. Vis tik pastebima, jog užduočių valdymo-vykdymo kultūra nėra pasiekusi pageidautino lygio: atliktini darbai vėluoja, pastebėtas vykdytojų savarankiškumo arba motyvacijos stygius (žr. temos </w:t>
                  </w:r>
                  <w:r>
                    <w:rPr>
                      <w:i/>
                      <w:noProof/>
                      <w:lang w:val="en-GB"/>
                    </w:rPr>
                    <w:t>Audito rezultatai</w:t>
                  </w:r>
                  <w:r>
                    <w:rPr>
                      <w:noProof/>
                      <w:lang w:val="en-GB"/>
                    </w:rPr>
                    <w:t xml:space="preserve"> dokumentuotą informaciją), nuolatinės kontrolės ir įgyvendinimo pagalbos poreikis. Rekomenduotina įsivardyti to gilumines priežastis ir numatyti sprendinius.</w:t>
                  </w:r>
                </w:p>
              </w:tc>
              <w:tc>
                <w:tcPr>
                  <w:tcW w:w="776" w:type="pct"/>
                  <w:vAlign w:val="center"/>
                </w:tcPr>
                <w:p w14:paraId="0B316C4F" w14:textId="09B8335D" w:rsidR="00EE13C0" w:rsidRPr="00681C4E" w:rsidRDefault="00EE13C0" w:rsidP="00EE13C0">
                  <w:pPr>
                    <w:rPr>
                      <w:noProof/>
                      <w:lang w:val="en-GB"/>
                    </w:rPr>
                  </w:pPr>
                  <w:r>
                    <w:rPr>
                      <w:noProof/>
                      <w:lang w:val="en-GB"/>
                    </w:rPr>
                    <w:t>Reorganizacijos metu pasinaudoti gerosiomis praktikomis ir atnaujinti procesus pagal poreikį.</w:t>
                  </w:r>
                </w:p>
              </w:tc>
              <w:tc>
                <w:tcPr>
                  <w:tcW w:w="556" w:type="pct"/>
                  <w:vAlign w:val="center"/>
                </w:tcPr>
                <w:p w14:paraId="0214C55B" w14:textId="7A97204B" w:rsidR="00EE13C0" w:rsidRPr="00681C4E" w:rsidRDefault="00EE13C0" w:rsidP="00EE13C0">
                  <w:pPr>
                    <w:rPr>
                      <w:noProof/>
                      <w:lang w:val="en-GB"/>
                    </w:rPr>
                  </w:pPr>
                  <w:r w:rsidRPr="46E9229C">
                    <w:rPr>
                      <w:noProof/>
                      <w:lang w:val="en-GB"/>
                    </w:rPr>
                    <w:t>Metodininkas</w:t>
                  </w:r>
                </w:p>
              </w:tc>
              <w:tc>
                <w:tcPr>
                  <w:tcW w:w="515" w:type="pct"/>
                  <w:vAlign w:val="center"/>
                </w:tcPr>
                <w:p w14:paraId="71E3DF70" w14:textId="12BECF37" w:rsidR="00EE13C0" w:rsidRPr="00681C4E" w:rsidRDefault="00EE13C0" w:rsidP="00EE13C0">
                  <w:pPr>
                    <w:rPr>
                      <w:noProof/>
                      <w:lang w:val="en-GB"/>
                    </w:rPr>
                  </w:pPr>
                  <w:r w:rsidRPr="46E9229C">
                    <w:rPr>
                      <w:noProof/>
                      <w:lang w:val="en-GB"/>
                    </w:rPr>
                    <w:t>2022-12-30</w:t>
                  </w:r>
                </w:p>
              </w:tc>
            </w:tr>
            <w:tr w:rsidR="00476CA0" w14:paraId="4E8CE93C" w14:textId="77777777" w:rsidTr="7BC4E2CD">
              <w:trPr>
                <w:trHeight w:val="920"/>
              </w:trPr>
              <w:tc>
                <w:tcPr>
                  <w:tcW w:w="565" w:type="pct"/>
                  <w:vMerge/>
                  <w:vAlign w:val="center"/>
                </w:tcPr>
                <w:p w14:paraId="3D0C2257" w14:textId="77777777" w:rsidR="00EE13C0" w:rsidRPr="00681C4E" w:rsidRDefault="00EE13C0" w:rsidP="00EE13C0">
                  <w:pPr>
                    <w:rPr>
                      <w:noProof/>
                      <w:lang w:val="en-GB"/>
                    </w:rPr>
                  </w:pPr>
                </w:p>
              </w:tc>
              <w:tc>
                <w:tcPr>
                  <w:tcW w:w="555" w:type="pct"/>
                  <w:vMerge/>
                  <w:vAlign w:val="center"/>
                </w:tcPr>
                <w:p w14:paraId="158E4B4F" w14:textId="77777777" w:rsidR="00EE13C0" w:rsidRDefault="00EE13C0" w:rsidP="00EE13C0">
                  <w:pPr>
                    <w:rPr>
                      <w:i/>
                      <w:noProof/>
                      <w:lang w:val="en-GB"/>
                    </w:rPr>
                  </w:pPr>
                </w:p>
              </w:tc>
              <w:tc>
                <w:tcPr>
                  <w:tcW w:w="2032" w:type="pct"/>
                  <w:vAlign w:val="center"/>
                </w:tcPr>
                <w:p w14:paraId="0EEBD82A" w14:textId="04D571A0" w:rsidR="00EE13C0" w:rsidRPr="002B119E" w:rsidRDefault="00EE13C0" w:rsidP="00EE13C0">
                  <w:pPr>
                    <w:jc w:val="both"/>
                    <w:rPr>
                      <w:noProof/>
                      <w:lang w:val="en-US"/>
                    </w:rPr>
                  </w:pPr>
                  <w:r>
                    <w:rPr>
                      <w:noProof/>
                      <w:lang w:val="en-US"/>
                    </w:rPr>
                    <w:t>Alumnų apklausos įgyvendinimo grafikas pasikeitus priėmimo laikotarpiams suderinamas su mokymo programos baigimo laikotarpiu ir administruojamas metodininko, praktinio mokymo vadovo, sektoriaus vadovo.</w:t>
                  </w:r>
                </w:p>
              </w:tc>
              <w:tc>
                <w:tcPr>
                  <w:tcW w:w="776" w:type="pct"/>
                  <w:vAlign w:val="center"/>
                </w:tcPr>
                <w:p w14:paraId="08D07B28" w14:textId="5C9AF892" w:rsidR="00EE13C0" w:rsidRPr="00681C4E" w:rsidRDefault="00EE13C0" w:rsidP="00EE13C0">
                  <w:pPr>
                    <w:rPr>
                      <w:noProof/>
                      <w:lang w:val="en-GB"/>
                    </w:rPr>
                  </w:pPr>
                  <w:r>
                    <w:rPr>
                      <w:noProof/>
                      <w:lang w:val="en-GB"/>
                    </w:rPr>
                    <w:t>Pokytis vert</w:t>
                  </w:r>
                  <w:r w:rsidR="007830C5">
                    <w:rPr>
                      <w:noProof/>
                      <w:lang w:val="en-GB"/>
                    </w:rPr>
                    <w:t>inamas teigiamai.</w:t>
                  </w:r>
                </w:p>
              </w:tc>
              <w:tc>
                <w:tcPr>
                  <w:tcW w:w="556" w:type="pct"/>
                  <w:vAlign w:val="center"/>
                </w:tcPr>
                <w:p w14:paraId="41117457" w14:textId="5BAE74C6" w:rsidR="00EE13C0" w:rsidRPr="00681C4E" w:rsidRDefault="007830C5" w:rsidP="007830C5">
                  <w:pPr>
                    <w:jc w:val="center"/>
                    <w:rPr>
                      <w:noProof/>
                      <w:lang w:val="en-GB"/>
                    </w:rPr>
                  </w:pPr>
                  <w:r>
                    <w:rPr>
                      <w:noProof/>
                      <w:lang w:val="en-GB"/>
                    </w:rPr>
                    <w:t>x</w:t>
                  </w:r>
                </w:p>
              </w:tc>
              <w:tc>
                <w:tcPr>
                  <w:tcW w:w="515" w:type="pct"/>
                  <w:vAlign w:val="center"/>
                </w:tcPr>
                <w:p w14:paraId="55A8FA08" w14:textId="21191382" w:rsidR="00EE13C0" w:rsidRPr="00681C4E" w:rsidRDefault="007830C5" w:rsidP="007830C5">
                  <w:pPr>
                    <w:jc w:val="center"/>
                    <w:rPr>
                      <w:noProof/>
                      <w:lang w:val="en-GB"/>
                    </w:rPr>
                  </w:pPr>
                  <w:r>
                    <w:rPr>
                      <w:noProof/>
                      <w:lang w:val="en-GB"/>
                    </w:rPr>
                    <w:t>x</w:t>
                  </w:r>
                </w:p>
              </w:tc>
            </w:tr>
            <w:tr w:rsidR="00476CA0" w14:paraId="796D51D4" w14:textId="77777777" w:rsidTr="7BC4E2CD">
              <w:trPr>
                <w:trHeight w:val="1230"/>
              </w:trPr>
              <w:tc>
                <w:tcPr>
                  <w:tcW w:w="565" w:type="pct"/>
                  <w:vMerge w:val="restart"/>
                  <w:vAlign w:val="center"/>
                </w:tcPr>
                <w:p w14:paraId="4E309527" w14:textId="18F2B905" w:rsidR="007830C5" w:rsidRPr="00681C4E" w:rsidRDefault="007830C5" w:rsidP="007830C5">
                  <w:pPr>
                    <w:rPr>
                      <w:noProof/>
                      <w:lang w:val="en-GB"/>
                    </w:rPr>
                  </w:pPr>
                  <w:r w:rsidRPr="00681C4E">
                    <w:rPr>
                      <w:noProof/>
                      <w:lang w:val="en-GB"/>
                    </w:rPr>
                    <w:t>Organizacijos konteksto (išorės ir vidaus veiksnių) pokyčiai, svarbūs kokybės vadybos sistemai.</w:t>
                  </w:r>
                </w:p>
              </w:tc>
              <w:tc>
                <w:tcPr>
                  <w:tcW w:w="555" w:type="pct"/>
                  <w:vMerge w:val="restart"/>
                  <w:vAlign w:val="center"/>
                </w:tcPr>
                <w:p w14:paraId="50CFD085" w14:textId="1EE12BE8" w:rsidR="007830C5" w:rsidRPr="00966642" w:rsidRDefault="006E1277" w:rsidP="007830C5">
                  <w:pPr>
                    <w:rPr>
                      <w:noProof/>
                      <w:lang w:val="en-GB"/>
                    </w:rPr>
                  </w:pPr>
                  <w:hyperlink r:id="rId8" w:history="1">
                    <w:r w:rsidR="007830C5" w:rsidRPr="00966642">
                      <w:rPr>
                        <w:rStyle w:val="Hyperlink"/>
                        <w:noProof/>
                        <w:lang w:val="en-GB"/>
                      </w:rPr>
                      <w:t>Išorės vertinimo metodika (2022 m. projektas)</w:t>
                    </w:r>
                  </w:hyperlink>
                </w:p>
                <w:p w14:paraId="3B8626BF" w14:textId="77777777" w:rsidR="007830C5" w:rsidRPr="00681C4E" w:rsidRDefault="007830C5" w:rsidP="007830C5">
                  <w:pPr>
                    <w:rPr>
                      <w:i/>
                      <w:noProof/>
                      <w:lang w:val="en-GB"/>
                    </w:rPr>
                  </w:pPr>
                </w:p>
                <w:p w14:paraId="38D6C96B" w14:textId="2E0D4356" w:rsidR="007830C5" w:rsidRPr="00966642" w:rsidRDefault="006E1277" w:rsidP="007830C5">
                  <w:pPr>
                    <w:rPr>
                      <w:noProof/>
                      <w:lang w:val="en-GB"/>
                    </w:rPr>
                  </w:pPr>
                  <w:hyperlink r:id="rId9" w:history="1">
                    <w:r w:rsidR="007830C5" w:rsidRPr="00966642">
                      <w:rPr>
                        <w:rStyle w:val="Hyperlink"/>
                        <w:noProof/>
                        <w:lang w:val="en-GB"/>
                      </w:rPr>
                      <w:t>Mokymo centro reorganizacija</w:t>
                    </w:r>
                  </w:hyperlink>
                </w:p>
              </w:tc>
              <w:tc>
                <w:tcPr>
                  <w:tcW w:w="2032" w:type="pct"/>
                  <w:vAlign w:val="center"/>
                </w:tcPr>
                <w:p w14:paraId="22F9D5F4" w14:textId="093B0924" w:rsidR="007830C5" w:rsidRPr="00681C4E" w:rsidRDefault="007830C5" w:rsidP="007830C5">
                  <w:pPr>
                    <w:jc w:val="both"/>
                    <w:rPr>
                      <w:noProof/>
                      <w:lang w:val="en-GB"/>
                    </w:rPr>
                  </w:pPr>
                  <w:r w:rsidRPr="46E9229C">
                    <w:rPr>
                      <w:noProof/>
                      <w:lang w:val="en-GB"/>
                    </w:rPr>
                    <w:t>2022 m. atnaujinta išorės vertinimo metodika numato rekomenduojamus klausimynus, kurių turinys gali skirtis nuo 2020 m. metodikos varianto. Atitinkamai 2022 m. birželio 2 d. direktoriaus įsakymų Nr. V1-313 buvo atnaujinta pedagogų apklausa. Rekomenduojama naujam tyrimo etapui (kitiems kalendoriniams metams) parengti atnaujintą apklausų turinį.</w:t>
                  </w:r>
                </w:p>
              </w:tc>
              <w:tc>
                <w:tcPr>
                  <w:tcW w:w="776" w:type="pct"/>
                  <w:vAlign w:val="center"/>
                </w:tcPr>
                <w:p w14:paraId="6591C170" w14:textId="657A4AEE" w:rsidR="007830C5" w:rsidRPr="00681C4E" w:rsidRDefault="007830C5" w:rsidP="007830C5">
                  <w:pPr>
                    <w:rPr>
                      <w:noProof/>
                      <w:lang w:val="en-GB"/>
                    </w:rPr>
                  </w:pPr>
                  <w:r>
                    <w:rPr>
                      <w:noProof/>
                      <w:lang w:val="en-GB"/>
                    </w:rPr>
                    <w:t>Reorganizacijos metu pasinaudoti gerosiomis praktikomis ir atnaujinti procesus pagal poreikį.</w:t>
                  </w:r>
                </w:p>
              </w:tc>
              <w:tc>
                <w:tcPr>
                  <w:tcW w:w="556" w:type="pct"/>
                  <w:vAlign w:val="center"/>
                </w:tcPr>
                <w:p w14:paraId="23B6D0B0" w14:textId="1F997BBB" w:rsidR="007830C5" w:rsidRPr="00681C4E" w:rsidRDefault="007830C5" w:rsidP="007830C5">
                  <w:pPr>
                    <w:rPr>
                      <w:noProof/>
                      <w:lang w:val="en-GB"/>
                    </w:rPr>
                  </w:pPr>
                  <w:r w:rsidRPr="46E9229C">
                    <w:rPr>
                      <w:noProof/>
                      <w:lang w:val="en-GB"/>
                    </w:rPr>
                    <w:t>Metodininkas</w:t>
                  </w:r>
                </w:p>
              </w:tc>
              <w:tc>
                <w:tcPr>
                  <w:tcW w:w="515" w:type="pct"/>
                  <w:vAlign w:val="center"/>
                </w:tcPr>
                <w:p w14:paraId="3770B21A" w14:textId="251104D2" w:rsidR="007830C5" w:rsidRPr="00681C4E" w:rsidRDefault="007830C5" w:rsidP="007830C5">
                  <w:pPr>
                    <w:rPr>
                      <w:noProof/>
                      <w:lang w:val="en-GB"/>
                    </w:rPr>
                  </w:pPr>
                  <w:r w:rsidRPr="46E9229C">
                    <w:rPr>
                      <w:noProof/>
                      <w:lang w:val="en-GB"/>
                    </w:rPr>
                    <w:t>2022-12-30</w:t>
                  </w:r>
                </w:p>
              </w:tc>
            </w:tr>
            <w:tr w:rsidR="00476CA0" w14:paraId="3F1A488D" w14:textId="77777777" w:rsidTr="7BC4E2CD">
              <w:trPr>
                <w:trHeight w:val="1125"/>
              </w:trPr>
              <w:tc>
                <w:tcPr>
                  <w:tcW w:w="565" w:type="pct"/>
                  <w:vMerge/>
                  <w:vAlign w:val="center"/>
                </w:tcPr>
                <w:p w14:paraId="11F4BAD4" w14:textId="77777777" w:rsidR="007830C5" w:rsidRPr="00681C4E" w:rsidRDefault="007830C5" w:rsidP="007830C5">
                  <w:pPr>
                    <w:rPr>
                      <w:noProof/>
                      <w:lang w:val="en-GB"/>
                    </w:rPr>
                  </w:pPr>
                </w:p>
              </w:tc>
              <w:tc>
                <w:tcPr>
                  <w:tcW w:w="555" w:type="pct"/>
                  <w:vMerge/>
                  <w:vAlign w:val="center"/>
                </w:tcPr>
                <w:p w14:paraId="74B006E4" w14:textId="77777777" w:rsidR="007830C5" w:rsidRPr="00966642" w:rsidRDefault="007830C5" w:rsidP="007830C5">
                  <w:pPr>
                    <w:rPr>
                      <w:noProof/>
                      <w:lang w:val="en-GB"/>
                    </w:rPr>
                  </w:pPr>
                </w:p>
              </w:tc>
              <w:tc>
                <w:tcPr>
                  <w:tcW w:w="2032" w:type="pct"/>
                  <w:vAlign w:val="center"/>
                </w:tcPr>
                <w:p w14:paraId="20055BA8" w14:textId="1E443329" w:rsidR="007830C5" w:rsidRDefault="007830C5" w:rsidP="007830C5">
                  <w:pPr>
                    <w:jc w:val="both"/>
                    <w:rPr>
                      <w:noProof/>
                      <w:lang w:val="en-GB"/>
                    </w:rPr>
                  </w:pPr>
                  <w:r>
                    <w:rPr>
                      <w:noProof/>
                      <w:lang w:val="en-GB"/>
                    </w:rPr>
                    <w:t xml:space="preserve">Dėl reorganizacijos atsisakyta kokybės vadybos sistemos sertifikavimo planų įvertinus laiko ir finansinius kaštus bei prielaidą, jog nauja organizacija sieks atnaujinti ir sertikuoti (naujai) kokybės vadybos sistemą. Rekomenduotina įvykus sujungimo faktui vertinti abiejų sujungiamų organizacijų kokybės vadybos sistemų dermę ir savalaikį įgyvendinimą. </w:t>
                  </w:r>
                </w:p>
              </w:tc>
              <w:tc>
                <w:tcPr>
                  <w:tcW w:w="776" w:type="pct"/>
                  <w:vAlign w:val="center"/>
                </w:tcPr>
                <w:p w14:paraId="0899F535" w14:textId="25D4B577" w:rsidR="007830C5" w:rsidRPr="00681C4E" w:rsidRDefault="007830C5" w:rsidP="007830C5">
                  <w:pPr>
                    <w:rPr>
                      <w:noProof/>
                      <w:lang w:val="en-GB"/>
                    </w:rPr>
                  </w:pPr>
                  <w:r>
                    <w:rPr>
                      <w:noProof/>
                      <w:lang w:val="en-GB"/>
                    </w:rPr>
                    <w:t>Reorganizacijos metu pasinaudoti gerosiomis praktikomis ir atnaujinti procesus pagal poreikį.</w:t>
                  </w:r>
                </w:p>
              </w:tc>
              <w:tc>
                <w:tcPr>
                  <w:tcW w:w="556" w:type="pct"/>
                  <w:vAlign w:val="center"/>
                </w:tcPr>
                <w:p w14:paraId="15609613" w14:textId="6C424F66" w:rsidR="007830C5" w:rsidRPr="00681C4E" w:rsidRDefault="007830C5" w:rsidP="007830C5">
                  <w:pPr>
                    <w:rPr>
                      <w:noProof/>
                      <w:lang w:val="en-GB"/>
                    </w:rPr>
                  </w:pPr>
                  <w:r w:rsidRPr="46E9229C">
                    <w:rPr>
                      <w:noProof/>
                      <w:lang w:val="en-GB"/>
                    </w:rPr>
                    <w:t>Metodininkas</w:t>
                  </w:r>
                </w:p>
              </w:tc>
              <w:tc>
                <w:tcPr>
                  <w:tcW w:w="515" w:type="pct"/>
                  <w:vAlign w:val="center"/>
                </w:tcPr>
                <w:p w14:paraId="356A03A3" w14:textId="549975AC" w:rsidR="007830C5" w:rsidRPr="00681C4E" w:rsidRDefault="007830C5" w:rsidP="007830C5">
                  <w:pPr>
                    <w:rPr>
                      <w:noProof/>
                      <w:lang w:val="en-GB"/>
                    </w:rPr>
                  </w:pPr>
                  <w:r w:rsidRPr="46E9229C">
                    <w:rPr>
                      <w:noProof/>
                      <w:lang w:val="en-GB"/>
                    </w:rPr>
                    <w:t>2022-12-30</w:t>
                  </w:r>
                </w:p>
              </w:tc>
            </w:tr>
            <w:tr w:rsidR="00476CA0" w14:paraId="71C404BC" w14:textId="77777777" w:rsidTr="7BC4E2CD">
              <w:trPr>
                <w:trHeight w:val="957"/>
              </w:trPr>
              <w:tc>
                <w:tcPr>
                  <w:tcW w:w="565" w:type="pct"/>
                  <w:vMerge w:val="restart"/>
                  <w:vAlign w:val="center"/>
                </w:tcPr>
                <w:p w14:paraId="71E92FAB" w14:textId="7067AE5F" w:rsidR="007830C5" w:rsidRPr="00681C4E" w:rsidRDefault="007830C5" w:rsidP="007830C5">
                  <w:pPr>
                    <w:rPr>
                      <w:noProof/>
                      <w:lang w:val="en-GB"/>
                    </w:rPr>
                  </w:pPr>
                  <w:r>
                    <w:rPr>
                      <w:noProof/>
                      <w:lang w:val="en-GB"/>
                    </w:rPr>
                    <w:t>Kokybės v</w:t>
                  </w:r>
                  <w:r w:rsidRPr="00681C4E">
                    <w:rPr>
                      <w:noProof/>
                      <w:lang w:val="en-GB"/>
                    </w:rPr>
                    <w:t>adybos politikos aktualumas, tikslų ir uždavinių vykdymas bei procesų valdymas.</w:t>
                  </w:r>
                </w:p>
              </w:tc>
              <w:tc>
                <w:tcPr>
                  <w:tcW w:w="555" w:type="pct"/>
                  <w:vMerge w:val="restart"/>
                  <w:vAlign w:val="center"/>
                </w:tcPr>
                <w:p w14:paraId="78C99C6C" w14:textId="09CD72E8" w:rsidR="007830C5" w:rsidRPr="00BF1618" w:rsidRDefault="006E1277" w:rsidP="007830C5">
                  <w:pPr>
                    <w:rPr>
                      <w:noProof/>
                      <w:lang w:val="en-GB"/>
                    </w:rPr>
                  </w:pPr>
                  <w:hyperlink r:id="rId10" w:history="1">
                    <w:r w:rsidR="007830C5">
                      <w:rPr>
                        <w:rStyle w:val="Hyperlink"/>
                        <w:noProof/>
                        <w:lang w:val="en-GB"/>
                      </w:rPr>
                      <w:t>2019-2022 m. strategija</w:t>
                    </w:r>
                  </w:hyperlink>
                  <w:r w:rsidR="007830C5">
                    <w:rPr>
                      <w:noProof/>
                      <w:lang w:val="en-GB"/>
                    </w:rPr>
                    <w:t xml:space="preserve"> </w:t>
                  </w:r>
                </w:p>
                <w:p w14:paraId="3C13CE38" w14:textId="77777777" w:rsidR="007830C5" w:rsidRPr="00EA11E1" w:rsidRDefault="007830C5" w:rsidP="007830C5">
                  <w:pPr>
                    <w:rPr>
                      <w:noProof/>
                      <w:lang w:val="en-GB"/>
                    </w:rPr>
                  </w:pPr>
                </w:p>
                <w:p w14:paraId="1374B407" w14:textId="60570644" w:rsidR="007830C5" w:rsidRPr="00A62953" w:rsidRDefault="006E1277" w:rsidP="007830C5">
                  <w:pPr>
                    <w:rPr>
                      <w:i/>
                      <w:noProof/>
                      <w:lang w:val="en-GB"/>
                    </w:rPr>
                  </w:pPr>
                  <w:hyperlink r:id="rId11" w:history="1">
                    <w:r w:rsidR="007830C5" w:rsidRPr="00A62953">
                      <w:rPr>
                        <w:rStyle w:val="Hyperlink"/>
                        <w:noProof/>
                        <w:lang w:val="en-GB"/>
                      </w:rPr>
                      <w:t>Kokybės politika</w:t>
                    </w:r>
                  </w:hyperlink>
                  <w:r w:rsidR="007830C5">
                    <w:rPr>
                      <w:noProof/>
                      <w:lang w:val="en-GB"/>
                    </w:rPr>
                    <w:t xml:space="preserve"> </w:t>
                  </w:r>
                </w:p>
                <w:p w14:paraId="359E3B17" w14:textId="658FD7DD" w:rsidR="007830C5" w:rsidRPr="00EA11E1" w:rsidRDefault="007830C5" w:rsidP="007830C5">
                  <w:pPr>
                    <w:rPr>
                      <w:noProof/>
                      <w:lang w:val="en-GB"/>
                    </w:rPr>
                  </w:pPr>
                </w:p>
                <w:p w14:paraId="19D6A47E" w14:textId="2F447221" w:rsidR="007830C5" w:rsidRPr="006908C9" w:rsidRDefault="006E1277" w:rsidP="007830C5">
                  <w:pPr>
                    <w:rPr>
                      <w:noProof/>
                      <w:lang w:val="en-GB"/>
                    </w:rPr>
                  </w:pPr>
                  <w:hyperlink r:id="rId12" w:history="1">
                    <w:r w:rsidR="007830C5" w:rsidRPr="006908C9">
                      <w:rPr>
                        <w:rStyle w:val="Hyperlink"/>
                        <w:noProof/>
                        <w:lang w:val="en-GB"/>
                      </w:rPr>
                      <w:t>2021 m. veiklos ataskaitos</w:t>
                    </w:r>
                  </w:hyperlink>
                  <w:r w:rsidR="007830C5">
                    <w:rPr>
                      <w:noProof/>
                      <w:lang w:val="en-GB"/>
                    </w:rPr>
                    <w:t xml:space="preserve"> </w:t>
                  </w:r>
                </w:p>
              </w:tc>
              <w:tc>
                <w:tcPr>
                  <w:tcW w:w="2032" w:type="pct"/>
                  <w:vAlign w:val="center"/>
                </w:tcPr>
                <w:p w14:paraId="5A712281" w14:textId="396D476B" w:rsidR="007830C5" w:rsidRPr="00681C4E" w:rsidRDefault="007830C5" w:rsidP="007830C5">
                  <w:pPr>
                    <w:jc w:val="both"/>
                    <w:rPr>
                      <w:noProof/>
                      <w:lang w:val="en-GB"/>
                    </w:rPr>
                  </w:pPr>
                  <w:r>
                    <w:rPr>
                      <w:noProof/>
                      <w:lang w:val="en-GB"/>
                    </w:rPr>
                    <w:t xml:space="preserve">Kokybės vadybos politika yra skelbiama mokymo centro internetinėje svetainėje ir aktuali iki reorganizacijos proceso įgyvendinimo baigties. Kokybės politikos esminis vertinimas aktualus, o galimi pokyčiai inicijuotini reorganizacijai įvykus. </w:t>
                  </w:r>
                </w:p>
              </w:tc>
              <w:tc>
                <w:tcPr>
                  <w:tcW w:w="776" w:type="pct"/>
                  <w:vAlign w:val="center"/>
                </w:tcPr>
                <w:p w14:paraId="41459990" w14:textId="5323A143" w:rsidR="007830C5" w:rsidRPr="00681C4E" w:rsidRDefault="008C34B8" w:rsidP="008C34B8">
                  <w:pPr>
                    <w:rPr>
                      <w:noProof/>
                      <w:lang w:val="en-GB"/>
                    </w:rPr>
                  </w:pPr>
                  <w:r>
                    <w:rPr>
                      <w:noProof/>
                      <w:lang w:val="en-GB"/>
                    </w:rPr>
                    <w:t>Pokyčiai dėl reorganizacijos proceso nėra aktualūs.</w:t>
                  </w:r>
                </w:p>
              </w:tc>
              <w:tc>
                <w:tcPr>
                  <w:tcW w:w="556" w:type="pct"/>
                  <w:vAlign w:val="center"/>
                </w:tcPr>
                <w:p w14:paraId="2620F5F7" w14:textId="06CC48E4" w:rsidR="007830C5" w:rsidRPr="00681C4E" w:rsidRDefault="008C34B8" w:rsidP="008C34B8">
                  <w:pPr>
                    <w:jc w:val="center"/>
                    <w:rPr>
                      <w:noProof/>
                      <w:lang w:val="en-GB"/>
                    </w:rPr>
                  </w:pPr>
                  <w:r>
                    <w:rPr>
                      <w:noProof/>
                      <w:lang w:val="en-GB"/>
                    </w:rPr>
                    <w:t>x</w:t>
                  </w:r>
                </w:p>
              </w:tc>
              <w:tc>
                <w:tcPr>
                  <w:tcW w:w="515" w:type="pct"/>
                  <w:vAlign w:val="center"/>
                </w:tcPr>
                <w:p w14:paraId="5988D79A" w14:textId="40E9E639" w:rsidR="007830C5" w:rsidRPr="00681C4E" w:rsidRDefault="008C34B8" w:rsidP="008C34B8">
                  <w:pPr>
                    <w:jc w:val="center"/>
                    <w:rPr>
                      <w:noProof/>
                      <w:lang w:val="en-GB"/>
                    </w:rPr>
                  </w:pPr>
                  <w:r>
                    <w:rPr>
                      <w:noProof/>
                      <w:lang w:val="en-GB"/>
                    </w:rPr>
                    <w:t>x</w:t>
                  </w:r>
                </w:p>
              </w:tc>
            </w:tr>
            <w:tr w:rsidR="00476CA0" w14:paraId="14F59B01" w14:textId="77777777" w:rsidTr="7BC4E2CD">
              <w:trPr>
                <w:trHeight w:val="984"/>
              </w:trPr>
              <w:tc>
                <w:tcPr>
                  <w:tcW w:w="565" w:type="pct"/>
                  <w:vMerge/>
                  <w:vAlign w:val="center"/>
                </w:tcPr>
                <w:p w14:paraId="219DB6A1" w14:textId="77777777" w:rsidR="007830C5" w:rsidRDefault="007830C5" w:rsidP="007830C5">
                  <w:pPr>
                    <w:rPr>
                      <w:noProof/>
                      <w:lang w:val="en-GB"/>
                    </w:rPr>
                  </w:pPr>
                </w:p>
              </w:tc>
              <w:tc>
                <w:tcPr>
                  <w:tcW w:w="555" w:type="pct"/>
                  <w:vMerge/>
                  <w:vAlign w:val="center"/>
                </w:tcPr>
                <w:p w14:paraId="3A7400F4" w14:textId="77777777" w:rsidR="007830C5" w:rsidRDefault="007830C5" w:rsidP="007830C5">
                  <w:pPr>
                    <w:rPr>
                      <w:noProof/>
                      <w:lang w:val="en-GB"/>
                    </w:rPr>
                  </w:pPr>
                </w:p>
              </w:tc>
              <w:tc>
                <w:tcPr>
                  <w:tcW w:w="2032" w:type="pct"/>
                  <w:vAlign w:val="center"/>
                </w:tcPr>
                <w:p w14:paraId="7AC249D6" w14:textId="015E7D71" w:rsidR="007830C5" w:rsidRPr="00D113AB" w:rsidRDefault="007830C5" w:rsidP="007830C5">
                  <w:pPr>
                    <w:jc w:val="both"/>
                    <w:rPr>
                      <w:noProof/>
                      <w:lang w:val="en-GB"/>
                    </w:rPr>
                  </w:pPr>
                  <w:r>
                    <w:rPr>
                      <w:noProof/>
                      <w:lang w:val="en-GB"/>
                    </w:rPr>
                    <w:t xml:space="preserve">Mokymo įstaigos Tarybai ir dalininkams pristatomos metinės vadovo ir organizacijos veiklos ataskaitos yra vertinamos pozityviai, o vertinimo rezultatai skelbiami mokymo centro svetainėje. Rodikliai ir tikslai, kurių nepavyko pasiekti norima apimtimi, įtraukiami į rizikų vertinimo procesą. </w:t>
                  </w:r>
                </w:p>
              </w:tc>
              <w:tc>
                <w:tcPr>
                  <w:tcW w:w="776" w:type="pct"/>
                  <w:vAlign w:val="center"/>
                </w:tcPr>
                <w:p w14:paraId="5785D90D" w14:textId="3F8EF0E3" w:rsidR="007830C5" w:rsidRPr="00681C4E" w:rsidRDefault="00562282" w:rsidP="007830C5">
                  <w:pPr>
                    <w:rPr>
                      <w:noProof/>
                      <w:lang w:val="en-GB"/>
                    </w:rPr>
                  </w:pPr>
                  <w:r>
                    <w:rPr>
                      <w:noProof/>
                      <w:lang w:val="en-GB"/>
                    </w:rPr>
                    <w:t xml:space="preserve">Vykdoma praktika yra pakankama. </w:t>
                  </w:r>
                </w:p>
              </w:tc>
              <w:tc>
                <w:tcPr>
                  <w:tcW w:w="556" w:type="pct"/>
                  <w:vAlign w:val="center"/>
                </w:tcPr>
                <w:p w14:paraId="44E4A442" w14:textId="3BFC4B2E" w:rsidR="007830C5" w:rsidRPr="00681C4E" w:rsidRDefault="00562282" w:rsidP="00562282">
                  <w:pPr>
                    <w:jc w:val="center"/>
                    <w:rPr>
                      <w:noProof/>
                      <w:lang w:val="en-GB"/>
                    </w:rPr>
                  </w:pPr>
                  <w:r>
                    <w:rPr>
                      <w:noProof/>
                      <w:lang w:val="en-GB"/>
                    </w:rPr>
                    <w:t>x</w:t>
                  </w:r>
                </w:p>
              </w:tc>
              <w:tc>
                <w:tcPr>
                  <w:tcW w:w="515" w:type="pct"/>
                  <w:vAlign w:val="center"/>
                </w:tcPr>
                <w:p w14:paraId="127E5E55" w14:textId="6E73FDF9" w:rsidR="007830C5" w:rsidRPr="00681C4E" w:rsidRDefault="00562282" w:rsidP="00562282">
                  <w:pPr>
                    <w:jc w:val="center"/>
                    <w:rPr>
                      <w:noProof/>
                      <w:lang w:val="en-GB"/>
                    </w:rPr>
                  </w:pPr>
                  <w:r>
                    <w:rPr>
                      <w:noProof/>
                      <w:lang w:val="en-GB"/>
                    </w:rPr>
                    <w:t>x</w:t>
                  </w:r>
                </w:p>
              </w:tc>
            </w:tr>
            <w:tr w:rsidR="00476CA0" w14:paraId="4A4A673F" w14:textId="77777777" w:rsidTr="7BC4E2CD">
              <w:trPr>
                <w:trHeight w:val="520"/>
              </w:trPr>
              <w:tc>
                <w:tcPr>
                  <w:tcW w:w="565" w:type="pct"/>
                  <w:vMerge/>
                  <w:vAlign w:val="center"/>
                </w:tcPr>
                <w:p w14:paraId="3C1ADD55" w14:textId="77777777" w:rsidR="007830C5" w:rsidRDefault="007830C5" w:rsidP="007830C5">
                  <w:pPr>
                    <w:rPr>
                      <w:noProof/>
                      <w:lang w:val="en-GB"/>
                    </w:rPr>
                  </w:pPr>
                </w:p>
              </w:tc>
              <w:tc>
                <w:tcPr>
                  <w:tcW w:w="555" w:type="pct"/>
                  <w:vMerge/>
                  <w:vAlign w:val="center"/>
                </w:tcPr>
                <w:p w14:paraId="6DA9D094" w14:textId="77777777" w:rsidR="007830C5" w:rsidRDefault="007830C5" w:rsidP="007830C5">
                  <w:pPr>
                    <w:rPr>
                      <w:noProof/>
                      <w:lang w:val="en-GB"/>
                    </w:rPr>
                  </w:pPr>
                </w:p>
              </w:tc>
              <w:tc>
                <w:tcPr>
                  <w:tcW w:w="2032" w:type="pct"/>
                  <w:vAlign w:val="center"/>
                </w:tcPr>
                <w:p w14:paraId="26B3C1A4" w14:textId="58A602DF" w:rsidR="007830C5" w:rsidRDefault="007830C5" w:rsidP="007830C5">
                  <w:pPr>
                    <w:jc w:val="both"/>
                    <w:rPr>
                      <w:noProof/>
                      <w:lang w:val="en-GB"/>
                    </w:rPr>
                  </w:pPr>
                  <w:r>
                    <w:rPr>
                      <w:noProof/>
                      <w:lang w:val="en-GB"/>
                    </w:rPr>
                    <w:t xml:space="preserve">Organizacijos strateginis laikotarpis baigiasi š. m. gruodį, tad planuotina nauja organizacijos strategija. </w:t>
                  </w:r>
                </w:p>
              </w:tc>
              <w:tc>
                <w:tcPr>
                  <w:tcW w:w="776" w:type="pct"/>
                  <w:vAlign w:val="center"/>
                </w:tcPr>
                <w:p w14:paraId="59187E6D" w14:textId="17453326" w:rsidR="007830C5" w:rsidRPr="00681C4E" w:rsidRDefault="00152273" w:rsidP="00152273">
                  <w:pPr>
                    <w:rPr>
                      <w:noProof/>
                      <w:lang w:val="en-GB"/>
                    </w:rPr>
                  </w:pPr>
                  <w:r>
                    <w:rPr>
                      <w:noProof/>
                      <w:lang w:val="en-GB"/>
                    </w:rPr>
                    <w:t>Sprendimai bus priimami naujos vadovybės.</w:t>
                  </w:r>
                </w:p>
              </w:tc>
              <w:tc>
                <w:tcPr>
                  <w:tcW w:w="556" w:type="pct"/>
                  <w:vAlign w:val="center"/>
                </w:tcPr>
                <w:p w14:paraId="1BB7113D" w14:textId="367053CB" w:rsidR="007830C5" w:rsidRPr="00681C4E" w:rsidRDefault="00152273" w:rsidP="00152273">
                  <w:pPr>
                    <w:jc w:val="center"/>
                    <w:rPr>
                      <w:noProof/>
                      <w:lang w:val="en-GB"/>
                    </w:rPr>
                  </w:pPr>
                  <w:r>
                    <w:rPr>
                      <w:noProof/>
                      <w:lang w:val="en-GB"/>
                    </w:rPr>
                    <w:t>x</w:t>
                  </w:r>
                </w:p>
              </w:tc>
              <w:tc>
                <w:tcPr>
                  <w:tcW w:w="515" w:type="pct"/>
                  <w:vAlign w:val="center"/>
                </w:tcPr>
                <w:p w14:paraId="591D0B61" w14:textId="18CC9616" w:rsidR="007830C5" w:rsidRPr="00681C4E" w:rsidRDefault="00152273" w:rsidP="00152273">
                  <w:pPr>
                    <w:jc w:val="center"/>
                    <w:rPr>
                      <w:noProof/>
                      <w:lang w:val="en-GB"/>
                    </w:rPr>
                  </w:pPr>
                  <w:r>
                    <w:rPr>
                      <w:noProof/>
                      <w:lang w:val="en-GB"/>
                    </w:rPr>
                    <w:t>x</w:t>
                  </w:r>
                </w:p>
              </w:tc>
            </w:tr>
            <w:tr w:rsidR="00476CA0" w14:paraId="502B43EF" w14:textId="77777777" w:rsidTr="7BC4E2CD">
              <w:trPr>
                <w:trHeight w:val="1954"/>
              </w:trPr>
              <w:tc>
                <w:tcPr>
                  <w:tcW w:w="565" w:type="pct"/>
                  <w:vMerge/>
                  <w:vAlign w:val="center"/>
                </w:tcPr>
                <w:p w14:paraId="16EB4891" w14:textId="77777777" w:rsidR="007830C5" w:rsidRDefault="007830C5" w:rsidP="007830C5">
                  <w:pPr>
                    <w:rPr>
                      <w:noProof/>
                      <w:lang w:val="en-GB"/>
                    </w:rPr>
                  </w:pPr>
                </w:p>
              </w:tc>
              <w:tc>
                <w:tcPr>
                  <w:tcW w:w="555" w:type="pct"/>
                  <w:vMerge/>
                  <w:vAlign w:val="center"/>
                </w:tcPr>
                <w:p w14:paraId="5B4B8FC8" w14:textId="77777777" w:rsidR="007830C5" w:rsidRDefault="007830C5" w:rsidP="007830C5">
                  <w:pPr>
                    <w:rPr>
                      <w:noProof/>
                      <w:lang w:val="en-GB"/>
                    </w:rPr>
                  </w:pPr>
                </w:p>
              </w:tc>
              <w:tc>
                <w:tcPr>
                  <w:tcW w:w="2032" w:type="pct"/>
                  <w:vAlign w:val="center"/>
                </w:tcPr>
                <w:p w14:paraId="7CD7D2D4" w14:textId="6749B583" w:rsidR="007830C5" w:rsidRDefault="007830C5" w:rsidP="007830C5">
                  <w:pPr>
                    <w:jc w:val="both"/>
                    <w:rPr>
                      <w:noProof/>
                      <w:lang w:val="en-GB"/>
                    </w:rPr>
                  </w:pPr>
                  <w:r>
                    <w:rPr>
                      <w:noProof/>
                      <w:lang w:val="en-GB"/>
                    </w:rPr>
                    <w:t xml:space="preserve">Vis dėlto atkreiptinas dėmesys į vidaus audito metu konsultuojančios auditorės pastabą: </w:t>
                  </w:r>
                  <w:r w:rsidRPr="00D113AB">
                    <w:rPr>
                      <w:i/>
                      <w:noProof/>
                      <w:lang w:val="en-GB"/>
                    </w:rPr>
                    <w:t>Rekomenduotina ugdyti procesų šeimininkų atsakomybę už savo procesą, numatyti tam palankius vadybinius mechanizmus, kad procesas būtų prižiūrimas ir nuolat atitiktų realią proceso situaciją</w:t>
                  </w:r>
                  <w:r>
                    <w:rPr>
                      <w:i/>
                      <w:noProof/>
                      <w:lang w:val="en-GB"/>
                    </w:rPr>
                    <w:t xml:space="preserve">. </w:t>
                  </w:r>
                </w:p>
              </w:tc>
              <w:tc>
                <w:tcPr>
                  <w:tcW w:w="776" w:type="pct"/>
                  <w:vAlign w:val="center"/>
                </w:tcPr>
                <w:p w14:paraId="7EC013C9" w14:textId="431086A9" w:rsidR="007830C5" w:rsidRPr="00681C4E" w:rsidRDefault="00152273" w:rsidP="007830C5">
                  <w:pPr>
                    <w:rPr>
                      <w:noProof/>
                      <w:lang w:val="en-GB"/>
                    </w:rPr>
                  </w:pPr>
                  <w:r>
                    <w:rPr>
                      <w:noProof/>
                      <w:lang w:val="en-GB"/>
                    </w:rPr>
                    <w:t xml:space="preserve">Reorganizacijos metu pasinaudoti gerosiomis praktikomis ir atnaujinti procesus </w:t>
                  </w:r>
                  <w:r w:rsidR="00194950">
                    <w:rPr>
                      <w:noProof/>
                      <w:lang w:val="en-GB"/>
                    </w:rPr>
                    <w:t xml:space="preserve">numatant </w:t>
                  </w:r>
                  <w:r w:rsidR="007830C5" w:rsidRPr="46E9229C">
                    <w:rPr>
                      <w:noProof/>
                      <w:lang w:val="en-GB"/>
                    </w:rPr>
                    <w:t xml:space="preserve">efektyvesni </w:t>
                  </w:r>
                  <w:r w:rsidR="00194950">
                    <w:rPr>
                      <w:noProof/>
                      <w:lang w:val="en-GB"/>
                    </w:rPr>
                    <w:t xml:space="preserve">procesų šeiminikų įveiklinimo </w:t>
                  </w:r>
                  <w:r w:rsidR="007830C5" w:rsidRPr="46E9229C">
                    <w:rPr>
                      <w:noProof/>
                      <w:lang w:val="en-GB"/>
                    </w:rPr>
                    <w:t>mechanizmą, skatinimo priem</w:t>
                  </w:r>
                  <w:r>
                    <w:rPr>
                      <w:noProof/>
                      <w:lang w:val="en-GB"/>
                    </w:rPr>
                    <w:t>ones.</w:t>
                  </w:r>
                </w:p>
              </w:tc>
              <w:tc>
                <w:tcPr>
                  <w:tcW w:w="556" w:type="pct"/>
                  <w:vAlign w:val="center"/>
                </w:tcPr>
                <w:p w14:paraId="29C40121" w14:textId="614FB099" w:rsidR="007830C5" w:rsidRPr="00681C4E" w:rsidRDefault="00926077" w:rsidP="00926077">
                  <w:pPr>
                    <w:jc w:val="center"/>
                    <w:rPr>
                      <w:noProof/>
                      <w:lang w:val="en-GB"/>
                    </w:rPr>
                  </w:pPr>
                  <w:r>
                    <w:rPr>
                      <w:noProof/>
                      <w:lang w:val="en-GB"/>
                    </w:rPr>
                    <w:t xml:space="preserve">Metodininkas </w:t>
                  </w:r>
                </w:p>
              </w:tc>
              <w:tc>
                <w:tcPr>
                  <w:tcW w:w="515" w:type="pct"/>
                  <w:vAlign w:val="center"/>
                </w:tcPr>
                <w:p w14:paraId="5F6C133F" w14:textId="3186CE4F" w:rsidR="007830C5" w:rsidRPr="00681C4E" w:rsidRDefault="00926077" w:rsidP="00926077">
                  <w:pPr>
                    <w:jc w:val="center"/>
                    <w:rPr>
                      <w:noProof/>
                      <w:lang w:val="en-GB"/>
                    </w:rPr>
                  </w:pPr>
                  <w:r>
                    <w:rPr>
                      <w:noProof/>
                      <w:lang w:val="en-GB"/>
                    </w:rPr>
                    <w:t>2022-12-30</w:t>
                  </w:r>
                </w:p>
              </w:tc>
            </w:tr>
            <w:tr w:rsidR="00476CA0" w14:paraId="6DEC730B" w14:textId="77777777" w:rsidTr="7BC4E2CD">
              <w:trPr>
                <w:trHeight w:val="526"/>
              </w:trPr>
              <w:tc>
                <w:tcPr>
                  <w:tcW w:w="565" w:type="pct"/>
                  <w:vMerge w:val="restart"/>
                  <w:vAlign w:val="center"/>
                </w:tcPr>
                <w:p w14:paraId="07F69FAE" w14:textId="201C60EC" w:rsidR="007830C5" w:rsidRPr="00681C4E" w:rsidRDefault="007830C5" w:rsidP="007830C5">
                  <w:pPr>
                    <w:rPr>
                      <w:noProof/>
                      <w:lang w:val="en-GB"/>
                    </w:rPr>
                  </w:pPr>
                  <w:r w:rsidRPr="00681C4E">
                    <w:rPr>
                      <w:noProof/>
                      <w:lang w:val="en-GB"/>
                    </w:rPr>
                    <w:t>Klientų pasitenkinimas ir grįžtamasis ryšys iš svarbių suinteresuotų šalių.</w:t>
                  </w:r>
                </w:p>
              </w:tc>
              <w:tc>
                <w:tcPr>
                  <w:tcW w:w="555" w:type="pct"/>
                  <w:vMerge w:val="restart"/>
                  <w:vAlign w:val="center"/>
                </w:tcPr>
                <w:p w14:paraId="01693B7F" w14:textId="43FBC87E" w:rsidR="007830C5" w:rsidRPr="00DD7E83" w:rsidRDefault="006E1277" w:rsidP="007830C5">
                  <w:pPr>
                    <w:rPr>
                      <w:noProof/>
                      <w:lang w:val="en-GB"/>
                    </w:rPr>
                  </w:pPr>
                  <w:hyperlink r:id="rId13" w:history="1">
                    <w:r w:rsidR="007830C5" w:rsidRPr="00DD7E83">
                      <w:rPr>
                        <w:rStyle w:val="Hyperlink"/>
                        <w:noProof/>
                        <w:lang w:val="en-GB"/>
                      </w:rPr>
                      <w:t>Pasitenkinimo rodikliai</w:t>
                    </w:r>
                  </w:hyperlink>
                  <w:r w:rsidR="007830C5" w:rsidRPr="00DD7E83">
                    <w:rPr>
                      <w:noProof/>
                      <w:lang w:val="en-GB"/>
                    </w:rPr>
                    <w:t xml:space="preserve"> (KVS rodiklių ataskaitos dalis)</w:t>
                  </w:r>
                </w:p>
                <w:p w14:paraId="184F2E76" w14:textId="47A56B93" w:rsidR="007830C5" w:rsidRPr="00DD7E83" w:rsidRDefault="007830C5" w:rsidP="007830C5">
                  <w:pPr>
                    <w:rPr>
                      <w:noProof/>
                      <w:lang w:val="en-GB"/>
                    </w:rPr>
                  </w:pPr>
                </w:p>
                <w:p w14:paraId="1B588199" w14:textId="108BC413" w:rsidR="007830C5" w:rsidRPr="00B63A68" w:rsidRDefault="007830C5" w:rsidP="007830C5">
                  <w:pPr>
                    <w:rPr>
                      <w:i/>
                      <w:noProof/>
                      <w:lang w:val="en-GB"/>
                    </w:rPr>
                  </w:pPr>
                  <w:r>
                    <w:rPr>
                      <w:noProof/>
                      <w:lang w:val="en-GB"/>
                    </w:rPr>
                    <w:t xml:space="preserve">Skundai </w:t>
                  </w:r>
                  <w:r>
                    <w:rPr>
                      <w:i/>
                      <w:noProof/>
                      <w:lang w:val="en-GB"/>
                    </w:rPr>
                    <w:t>(DVS)</w:t>
                  </w:r>
                </w:p>
              </w:tc>
              <w:tc>
                <w:tcPr>
                  <w:tcW w:w="2032" w:type="pct"/>
                  <w:vAlign w:val="center"/>
                </w:tcPr>
                <w:p w14:paraId="6A5F57AD" w14:textId="6FA7FC52" w:rsidR="007830C5" w:rsidRDefault="007830C5" w:rsidP="007830C5">
                  <w:pPr>
                    <w:jc w:val="both"/>
                    <w:rPr>
                      <w:noProof/>
                      <w:lang w:val="en-GB"/>
                    </w:rPr>
                  </w:pPr>
                  <w:r>
                    <w:rPr>
                      <w:noProof/>
                      <w:lang w:val="en-GB"/>
                    </w:rPr>
                    <w:t>Taikomi apklausos įrankiai – apklausos, skirtos mokinių, absolventų darbdavių ir pedagogų bendruomenėms. Apklausomis matuojami pasitenkinimo rodikliai, susieti su išorės vertinimo rodikliais, strateginiais rodikliais, kokybės rodikliais. Pavyzdžiui:</w:t>
                  </w:r>
                </w:p>
                <w:p w14:paraId="3294EFD0" w14:textId="513D6A26" w:rsidR="007830C5" w:rsidRDefault="007830C5" w:rsidP="007830C5">
                  <w:pPr>
                    <w:pStyle w:val="ListParagraph"/>
                    <w:numPr>
                      <w:ilvl w:val="0"/>
                      <w:numId w:val="22"/>
                    </w:numPr>
                    <w:jc w:val="both"/>
                  </w:pPr>
                  <w:r w:rsidRPr="00C33589">
                    <w:t>Pasitenkinimas</w:t>
                  </w:r>
                  <w:r>
                    <w:t xml:space="preserve"> (pirmakursių)</w:t>
                  </w:r>
                  <w:r w:rsidRPr="00C33589">
                    <w:t xml:space="preserve"> informacijos prieinamumu ir jos kokybe</w:t>
                  </w:r>
                  <w:r>
                    <w:t xml:space="preserve"> siekia 95 proc. (ribinė reikšmė – 85 proc.)</w:t>
                  </w:r>
                </w:p>
                <w:p w14:paraId="79E4F156" w14:textId="22A7F116" w:rsidR="007830C5" w:rsidRDefault="007830C5" w:rsidP="007830C5">
                  <w:pPr>
                    <w:pStyle w:val="ListParagraph"/>
                    <w:numPr>
                      <w:ilvl w:val="0"/>
                      <w:numId w:val="22"/>
                    </w:numPr>
                    <w:jc w:val="both"/>
                  </w:pPr>
                  <w:r>
                    <w:t>Mokinių pasitenkinimas mokymo(si) procesu siekia 94,96 proc. (ribinė reikšmė – 80 proc.).</w:t>
                  </w:r>
                </w:p>
                <w:p w14:paraId="0D0E76B7" w14:textId="584362A3" w:rsidR="007830C5" w:rsidRDefault="007830C5" w:rsidP="007830C5">
                  <w:pPr>
                    <w:pStyle w:val="ListParagraph"/>
                    <w:numPr>
                      <w:ilvl w:val="0"/>
                      <w:numId w:val="22"/>
                    </w:numPr>
                    <w:jc w:val="both"/>
                  </w:pPr>
                  <w:r>
                    <w:rPr>
                      <w:rStyle w:val="normaltextrun"/>
                      <w:color w:val="000000"/>
                      <w:shd w:val="clear" w:color="auto" w:fill="FFFFFF"/>
                    </w:rPr>
                    <w:t>Mokinių pasitenkinimas mokymo(</w:t>
                  </w:r>
                  <w:r>
                    <w:rPr>
                      <w:rStyle w:val="spellingerror"/>
                      <w:color w:val="000000"/>
                      <w:shd w:val="clear" w:color="auto" w:fill="FFFFFF"/>
                    </w:rPr>
                    <w:t>si</w:t>
                  </w:r>
                  <w:r>
                    <w:rPr>
                      <w:rStyle w:val="normaltextrun"/>
                      <w:color w:val="000000"/>
                      <w:shd w:val="clear" w:color="auto" w:fill="FFFFFF"/>
                    </w:rPr>
                    <w:t>) infrastruktūra</w:t>
                  </w:r>
                  <w:r>
                    <w:rPr>
                      <w:rStyle w:val="eop"/>
                      <w:color w:val="000000"/>
                      <w:shd w:val="clear" w:color="auto" w:fill="FFFFFF"/>
                    </w:rPr>
                    <w:t> siekia 94 proc. (ribinė reikšmė – 70 proc.).</w:t>
                  </w:r>
                </w:p>
                <w:p w14:paraId="1F1FDD5C" w14:textId="33B809C2" w:rsidR="007830C5" w:rsidRPr="00EB2393" w:rsidRDefault="007830C5" w:rsidP="007830C5">
                  <w:pPr>
                    <w:pStyle w:val="ListParagraph"/>
                    <w:numPr>
                      <w:ilvl w:val="0"/>
                      <w:numId w:val="22"/>
                    </w:numPr>
                    <w:jc w:val="both"/>
                    <w:rPr>
                      <w:b/>
                    </w:rPr>
                  </w:pPr>
                  <w:r w:rsidRPr="00EB2393">
                    <w:rPr>
                      <w:rStyle w:val="normaltextrun"/>
                      <w:b/>
                      <w:color w:val="262626"/>
                      <w:shd w:val="clear" w:color="auto" w:fill="FFFFFF"/>
                    </w:rPr>
                    <w:t>Mokinių pasitenkinimas mokymo kokybe</w:t>
                  </w:r>
                  <w:r w:rsidRPr="00EB2393">
                    <w:rPr>
                      <w:rStyle w:val="eop"/>
                      <w:b/>
                      <w:color w:val="262626"/>
                      <w:shd w:val="clear" w:color="auto" w:fill="FFFFFF"/>
                    </w:rPr>
                    <w:t> siekia 42 proc. (</w:t>
                  </w:r>
                  <w:r>
                    <w:rPr>
                      <w:rStyle w:val="eop"/>
                      <w:b/>
                      <w:color w:val="262626"/>
                      <w:shd w:val="clear" w:color="auto" w:fill="FFFFFF"/>
                    </w:rPr>
                    <w:t>ribinė</w:t>
                  </w:r>
                  <w:r w:rsidRPr="00EB2393">
                    <w:rPr>
                      <w:rStyle w:val="eop"/>
                      <w:b/>
                      <w:color w:val="262626"/>
                      <w:shd w:val="clear" w:color="auto" w:fill="FFFFFF"/>
                    </w:rPr>
                    <w:t xml:space="preserve"> reikšmė – 65 proc., NPS). </w:t>
                  </w:r>
                  <w:r>
                    <w:rPr>
                      <w:rStyle w:val="eop"/>
                      <w:color w:val="262626"/>
                      <w:shd w:val="clear" w:color="auto" w:fill="FFFFFF"/>
                    </w:rPr>
                    <w:t>Šis rodiklis nesiekia pageidautinos reikšmės. Numatyta NPS reikšmė yra gana aukšta, todėl Taryba 2022 m. numatė žemesnę 55 proc. reikšmę.</w:t>
                  </w:r>
                </w:p>
                <w:p w14:paraId="37D69EAE" w14:textId="06791D16" w:rsidR="007830C5" w:rsidRDefault="007830C5" w:rsidP="007830C5">
                  <w:pPr>
                    <w:pStyle w:val="ListParagraph"/>
                    <w:numPr>
                      <w:ilvl w:val="0"/>
                      <w:numId w:val="22"/>
                    </w:numPr>
                    <w:jc w:val="both"/>
                  </w:pPr>
                  <w:r w:rsidRPr="00A934C2">
                    <w:rPr>
                      <w:b/>
                    </w:rPr>
                    <w:t xml:space="preserve">Absolventų pasitenkinimas įgyta kvalifikacija / kompetencijomis siekia 85 proc. (ribinė reikšmė – 85 proc.). </w:t>
                  </w:r>
                  <w:r>
                    <w:t xml:space="preserve">Pasiekta reikšmė lygi ribinei reikšmei. </w:t>
                  </w:r>
                </w:p>
                <w:p w14:paraId="3A513896" w14:textId="5E988DC9" w:rsidR="007830C5" w:rsidRDefault="007830C5" w:rsidP="007830C5">
                  <w:pPr>
                    <w:pStyle w:val="ListParagraph"/>
                    <w:numPr>
                      <w:ilvl w:val="0"/>
                      <w:numId w:val="22"/>
                    </w:numPr>
                    <w:jc w:val="both"/>
                  </w:pPr>
                  <w:r>
                    <w:t>Darbdavių pasitenkinimas absolventų įgytomis kompetencijomis siekia 97,06 proc. (ribinė reikšmė – 75 proc.).</w:t>
                  </w:r>
                </w:p>
                <w:p w14:paraId="7E6099FC" w14:textId="2A5D28BC" w:rsidR="007830C5" w:rsidRPr="00E32293" w:rsidRDefault="007830C5" w:rsidP="007830C5">
                  <w:pPr>
                    <w:pStyle w:val="ListParagraph"/>
                    <w:numPr>
                      <w:ilvl w:val="0"/>
                      <w:numId w:val="22"/>
                    </w:numPr>
                    <w:jc w:val="both"/>
                    <w:rPr>
                      <w:rStyle w:val="eop"/>
                    </w:rPr>
                  </w:pPr>
                  <w:r w:rsidRPr="00A934C2">
                    <w:rPr>
                      <w:rStyle w:val="normaltextrun"/>
                      <w:b/>
                      <w:color w:val="000000"/>
                      <w:shd w:val="clear" w:color="auto" w:fill="FFFFFF"/>
                    </w:rPr>
                    <w:t>Pedagogų pasitenkinimo darbo procesu lygis</w:t>
                  </w:r>
                  <w:r w:rsidRPr="00A934C2">
                    <w:rPr>
                      <w:rStyle w:val="eop"/>
                      <w:b/>
                      <w:color w:val="000000"/>
                      <w:shd w:val="clear" w:color="auto" w:fill="FFFFFF"/>
                    </w:rPr>
                    <w:t> siekia 85,6 proc. (</w:t>
                  </w:r>
                  <w:r>
                    <w:rPr>
                      <w:rStyle w:val="eop"/>
                      <w:b/>
                      <w:color w:val="000000"/>
                      <w:shd w:val="clear" w:color="auto" w:fill="FFFFFF"/>
                    </w:rPr>
                    <w:t>ribinė</w:t>
                  </w:r>
                  <w:r w:rsidRPr="00A934C2">
                    <w:rPr>
                      <w:rStyle w:val="eop"/>
                      <w:b/>
                      <w:color w:val="000000"/>
                      <w:shd w:val="clear" w:color="auto" w:fill="FFFFFF"/>
                    </w:rPr>
                    <w:t xml:space="preserve"> reikšmė – 85 proc.)</w:t>
                  </w:r>
                  <w:r>
                    <w:rPr>
                      <w:rStyle w:val="eop"/>
                      <w:color w:val="000000"/>
                      <w:shd w:val="clear" w:color="auto" w:fill="FFFFFF"/>
                    </w:rPr>
                    <w:t xml:space="preserve">. Pasiekta reikšmė nežymiai aukštesnė už pageidautiną. </w:t>
                  </w:r>
                </w:p>
                <w:p w14:paraId="2D708494" w14:textId="45CBCD82" w:rsidR="007830C5" w:rsidRPr="00AE6BDF" w:rsidRDefault="007830C5" w:rsidP="007830C5">
                  <w:pPr>
                    <w:pStyle w:val="ListParagraph"/>
                    <w:numPr>
                      <w:ilvl w:val="0"/>
                      <w:numId w:val="22"/>
                    </w:numPr>
                    <w:jc w:val="both"/>
                  </w:pPr>
                  <w:r>
                    <w:rPr>
                      <w:rStyle w:val="normaltextrun"/>
                      <w:color w:val="000000"/>
                      <w:shd w:val="clear" w:color="auto" w:fill="FFFFFF"/>
                    </w:rPr>
                    <w:lastRenderedPageBreak/>
                    <w:t>Pedagogų pasitenkinimas mokymo(</w:t>
                  </w:r>
                  <w:r>
                    <w:rPr>
                      <w:rStyle w:val="spellingerror"/>
                      <w:color w:val="000000"/>
                      <w:shd w:val="clear" w:color="auto" w:fill="FFFFFF"/>
                    </w:rPr>
                    <w:t>si</w:t>
                  </w:r>
                  <w:r>
                    <w:rPr>
                      <w:rStyle w:val="normaltextrun"/>
                      <w:color w:val="000000"/>
                      <w:shd w:val="clear" w:color="auto" w:fill="FFFFFF"/>
                    </w:rPr>
                    <w:t xml:space="preserve">) infrastruktūra siekia 84,1 proc. (ribinė reikšmė – 70 proc.). </w:t>
                  </w:r>
                </w:p>
              </w:tc>
              <w:tc>
                <w:tcPr>
                  <w:tcW w:w="776" w:type="pct"/>
                  <w:vAlign w:val="center"/>
                </w:tcPr>
                <w:p w14:paraId="509AEBDE" w14:textId="2F145573" w:rsidR="007830C5" w:rsidRPr="00681C4E" w:rsidRDefault="00926077" w:rsidP="007830C5">
                  <w:pPr>
                    <w:rPr>
                      <w:noProof/>
                      <w:lang w:val="en-GB"/>
                    </w:rPr>
                  </w:pPr>
                  <w:r>
                    <w:rPr>
                      <w:noProof/>
                      <w:lang w:val="en-GB"/>
                    </w:rPr>
                    <w:lastRenderedPageBreak/>
                    <w:t xml:space="preserve">Reorganizacijos metu pasinaudoti gerosiomis praktikomis ir atnaujinti </w:t>
                  </w:r>
                  <w:r w:rsidR="00AB5D4D">
                    <w:rPr>
                      <w:noProof/>
                      <w:lang w:val="en-GB"/>
                    </w:rPr>
                    <w:t>suinteresuotų š</w:t>
                  </w:r>
                  <w:r w:rsidR="00AD7DF3">
                    <w:rPr>
                      <w:noProof/>
                      <w:lang w:val="en-GB"/>
                    </w:rPr>
                    <w:t>alių apklaus</w:t>
                  </w:r>
                  <w:r w:rsidR="00476CA0">
                    <w:rPr>
                      <w:noProof/>
                      <w:lang w:val="en-GB"/>
                    </w:rPr>
                    <w:t xml:space="preserve">as. </w:t>
                  </w:r>
                  <w:r w:rsidR="00AD7DF3">
                    <w:rPr>
                      <w:noProof/>
                      <w:lang w:val="en-GB"/>
                    </w:rPr>
                    <w:t>Rekomenduotina įtraukti</w:t>
                  </w:r>
                  <w:r w:rsidR="00AB5D4D">
                    <w:rPr>
                      <w:noProof/>
                      <w:lang w:val="en-GB"/>
                    </w:rPr>
                    <w:t xml:space="preserve"> </w:t>
                  </w:r>
                  <w:r w:rsidR="007830C5" w:rsidRPr="46E9229C">
                    <w:rPr>
                      <w:noProof/>
                      <w:lang w:val="en-GB"/>
                    </w:rPr>
                    <w:t>NPS pedagogams</w:t>
                  </w:r>
                  <w:r w:rsidR="00AB5D4D">
                    <w:rPr>
                      <w:noProof/>
                      <w:lang w:val="en-GB"/>
                    </w:rPr>
                    <w:t>.</w:t>
                  </w:r>
                </w:p>
              </w:tc>
              <w:tc>
                <w:tcPr>
                  <w:tcW w:w="556" w:type="pct"/>
                  <w:vAlign w:val="center"/>
                </w:tcPr>
                <w:p w14:paraId="62579623" w14:textId="6A4DB806" w:rsidR="007830C5" w:rsidRPr="00681C4E" w:rsidRDefault="00AB5D4D" w:rsidP="007830C5">
                  <w:pPr>
                    <w:rPr>
                      <w:noProof/>
                      <w:lang w:val="en-GB"/>
                    </w:rPr>
                  </w:pPr>
                  <w:r>
                    <w:rPr>
                      <w:noProof/>
                      <w:lang w:val="en-GB"/>
                    </w:rPr>
                    <w:t>Metodininkas</w:t>
                  </w:r>
                </w:p>
              </w:tc>
              <w:tc>
                <w:tcPr>
                  <w:tcW w:w="515" w:type="pct"/>
                  <w:vAlign w:val="center"/>
                </w:tcPr>
                <w:p w14:paraId="5527AB88" w14:textId="14B2271F" w:rsidR="007830C5" w:rsidRPr="00681C4E" w:rsidRDefault="00AB5D4D" w:rsidP="007830C5">
                  <w:pPr>
                    <w:rPr>
                      <w:noProof/>
                      <w:lang w:val="en-GB"/>
                    </w:rPr>
                  </w:pPr>
                  <w:r>
                    <w:rPr>
                      <w:noProof/>
                      <w:lang w:val="en-GB"/>
                    </w:rPr>
                    <w:t>2022-12-30</w:t>
                  </w:r>
                </w:p>
              </w:tc>
            </w:tr>
            <w:tr w:rsidR="00476CA0" w14:paraId="71767473" w14:textId="77777777" w:rsidTr="7BC4E2CD">
              <w:trPr>
                <w:trHeight w:val="977"/>
              </w:trPr>
              <w:tc>
                <w:tcPr>
                  <w:tcW w:w="565" w:type="pct"/>
                  <w:vMerge/>
                  <w:vAlign w:val="center"/>
                </w:tcPr>
                <w:p w14:paraId="043BBAFE" w14:textId="77777777" w:rsidR="007830C5" w:rsidRPr="00681C4E" w:rsidRDefault="007830C5" w:rsidP="007830C5">
                  <w:pPr>
                    <w:rPr>
                      <w:noProof/>
                      <w:lang w:val="en-GB"/>
                    </w:rPr>
                  </w:pPr>
                </w:p>
              </w:tc>
              <w:tc>
                <w:tcPr>
                  <w:tcW w:w="555" w:type="pct"/>
                  <w:vMerge/>
                  <w:vAlign w:val="center"/>
                </w:tcPr>
                <w:p w14:paraId="02814E56" w14:textId="77777777" w:rsidR="007830C5" w:rsidRDefault="007830C5" w:rsidP="007830C5">
                  <w:pPr>
                    <w:rPr>
                      <w:i/>
                      <w:noProof/>
                      <w:lang w:val="en-GB"/>
                    </w:rPr>
                  </w:pPr>
                </w:p>
              </w:tc>
              <w:tc>
                <w:tcPr>
                  <w:tcW w:w="2032" w:type="pct"/>
                  <w:vAlign w:val="center"/>
                </w:tcPr>
                <w:p w14:paraId="2DFB99EE" w14:textId="4027548F" w:rsidR="007830C5" w:rsidRDefault="007830C5" w:rsidP="007830C5">
                  <w:pPr>
                    <w:jc w:val="both"/>
                  </w:pPr>
                  <w:r>
                    <w:t>Gauti 2 skundai, kurių pagrindai:</w:t>
                  </w:r>
                </w:p>
                <w:p w14:paraId="1BF09229" w14:textId="77777777" w:rsidR="007830C5" w:rsidRDefault="007830C5" w:rsidP="007830C5">
                  <w:pPr>
                    <w:pStyle w:val="ListParagraph"/>
                    <w:numPr>
                      <w:ilvl w:val="0"/>
                      <w:numId w:val="23"/>
                    </w:numPr>
                    <w:jc w:val="both"/>
                    <w:rPr>
                      <w:noProof/>
                      <w:lang w:val="en-GB"/>
                    </w:rPr>
                  </w:pPr>
                  <w:r>
                    <w:rPr>
                      <w:noProof/>
                      <w:lang w:val="en-GB"/>
                    </w:rPr>
                    <w:t>mokytojo profesinė nekompetencija ir neetiškas elgesys;</w:t>
                  </w:r>
                </w:p>
                <w:p w14:paraId="35A6E53A" w14:textId="14921726" w:rsidR="007830C5" w:rsidRPr="009C2074" w:rsidRDefault="007830C5" w:rsidP="007830C5">
                  <w:pPr>
                    <w:pStyle w:val="ListParagraph"/>
                    <w:numPr>
                      <w:ilvl w:val="0"/>
                      <w:numId w:val="23"/>
                    </w:numPr>
                    <w:jc w:val="both"/>
                    <w:rPr>
                      <w:noProof/>
                      <w:lang w:val="en-GB"/>
                    </w:rPr>
                  </w:pPr>
                  <w:r>
                    <w:rPr>
                      <w:noProof/>
                      <w:lang w:val="en-GB"/>
                    </w:rPr>
                    <w:t>individualaus dėmesio mokymosi metu stygius, neformaliuoju būdu įgytų kompetencijų pripažinimas, bendravimo etika.</w:t>
                  </w:r>
                </w:p>
              </w:tc>
              <w:tc>
                <w:tcPr>
                  <w:tcW w:w="776" w:type="pct"/>
                  <w:vAlign w:val="center"/>
                </w:tcPr>
                <w:p w14:paraId="5EB4AD73" w14:textId="26332983" w:rsidR="007830C5" w:rsidRPr="00681C4E" w:rsidRDefault="00926077" w:rsidP="007830C5">
                  <w:pPr>
                    <w:rPr>
                      <w:noProof/>
                      <w:lang w:val="en-GB"/>
                    </w:rPr>
                  </w:pPr>
                  <w:r>
                    <w:rPr>
                      <w:noProof/>
                      <w:lang w:val="en-GB"/>
                    </w:rPr>
                    <w:t>Skundų nagrinėjimo tvarka yra pakankama.</w:t>
                  </w:r>
                </w:p>
              </w:tc>
              <w:tc>
                <w:tcPr>
                  <w:tcW w:w="556" w:type="pct"/>
                  <w:vAlign w:val="center"/>
                </w:tcPr>
                <w:p w14:paraId="546EFB47" w14:textId="4DAF86BE" w:rsidR="007830C5" w:rsidRPr="00681C4E" w:rsidRDefault="00926077" w:rsidP="00926077">
                  <w:pPr>
                    <w:jc w:val="center"/>
                    <w:rPr>
                      <w:noProof/>
                      <w:lang w:val="en-GB"/>
                    </w:rPr>
                  </w:pPr>
                  <w:r>
                    <w:rPr>
                      <w:noProof/>
                      <w:lang w:val="en-GB"/>
                    </w:rPr>
                    <w:t>x</w:t>
                  </w:r>
                </w:p>
              </w:tc>
              <w:tc>
                <w:tcPr>
                  <w:tcW w:w="515" w:type="pct"/>
                  <w:vAlign w:val="center"/>
                </w:tcPr>
                <w:p w14:paraId="40AABF37" w14:textId="5678DB4C" w:rsidR="007830C5" w:rsidRPr="00681C4E" w:rsidRDefault="00926077" w:rsidP="00926077">
                  <w:pPr>
                    <w:jc w:val="center"/>
                    <w:rPr>
                      <w:noProof/>
                      <w:lang w:val="en-GB"/>
                    </w:rPr>
                  </w:pPr>
                  <w:r>
                    <w:rPr>
                      <w:noProof/>
                      <w:lang w:val="en-GB"/>
                    </w:rPr>
                    <w:t>x</w:t>
                  </w:r>
                </w:p>
              </w:tc>
            </w:tr>
            <w:tr w:rsidR="00476CA0" w14:paraId="423E0B61" w14:textId="77777777" w:rsidTr="7BC4E2CD">
              <w:trPr>
                <w:trHeight w:val="1235"/>
              </w:trPr>
              <w:tc>
                <w:tcPr>
                  <w:tcW w:w="565" w:type="pct"/>
                  <w:vMerge w:val="restart"/>
                  <w:vAlign w:val="center"/>
                </w:tcPr>
                <w:p w14:paraId="277EBA34" w14:textId="2597F182" w:rsidR="007830C5" w:rsidRPr="00681C4E" w:rsidRDefault="007830C5" w:rsidP="007830C5">
                  <w:pPr>
                    <w:rPr>
                      <w:noProof/>
                      <w:lang w:val="en-GB"/>
                    </w:rPr>
                  </w:pPr>
                  <w:r w:rsidRPr="00681C4E">
                    <w:rPr>
                      <w:noProof/>
                      <w:lang w:val="en-GB"/>
                    </w:rPr>
                    <w:t>Kokybės tikslų pasiekimo laipsnis.</w:t>
                  </w:r>
                </w:p>
              </w:tc>
              <w:tc>
                <w:tcPr>
                  <w:tcW w:w="555" w:type="pct"/>
                  <w:vMerge w:val="restart"/>
                  <w:vAlign w:val="center"/>
                </w:tcPr>
                <w:p w14:paraId="5A937383" w14:textId="77777777" w:rsidR="007830C5" w:rsidRDefault="006E1277" w:rsidP="007830C5">
                  <w:pPr>
                    <w:rPr>
                      <w:noProof/>
                      <w:lang w:val="en-GB"/>
                    </w:rPr>
                  </w:pPr>
                  <w:hyperlink r:id="rId14" w:history="1">
                    <w:r w:rsidR="007830C5" w:rsidRPr="00EA6CAA">
                      <w:rPr>
                        <w:rStyle w:val="Hyperlink"/>
                        <w:noProof/>
                        <w:lang w:val="en-GB"/>
                      </w:rPr>
                      <w:t>Kokybės tikslų ataskaita</w:t>
                    </w:r>
                  </w:hyperlink>
                </w:p>
                <w:p w14:paraId="43BA3754" w14:textId="45BFE91A" w:rsidR="007830C5" w:rsidRPr="00844FCA" w:rsidRDefault="007830C5" w:rsidP="007830C5">
                  <w:pPr>
                    <w:rPr>
                      <w:noProof/>
                      <w:lang w:val="en-GB"/>
                    </w:rPr>
                  </w:pPr>
                  <w:r>
                    <w:rPr>
                      <w:noProof/>
                      <w:lang w:val="en-GB"/>
                    </w:rPr>
                    <w:t xml:space="preserve">(žr. </w:t>
                  </w:r>
                  <w:r>
                    <w:rPr>
                      <w:i/>
                      <w:noProof/>
                      <w:lang w:val="en-GB"/>
                    </w:rPr>
                    <w:t>Veiklos ataskaitos</w:t>
                  </w:r>
                  <w:r>
                    <w:rPr>
                      <w:noProof/>
                      <w:lang w:val="en-GB"/>
                    </w:rPr>
                    <w:t>).</w:t>
                  </w:r>
                </w:p>
              </w:tc>
              <w:tc>
                <w:tcPr>
                  <w:tcW w:w="2032" w:type="pct"/>
                  <w:vAlign w:val="center"/>
                </w:tcPr>
                <w:p w14:paraId="7303473D" w14:textId="3F8C7132" w:rsidR="007830C5" w:rsidRDefault="007830C5" w:rsidP="007830C5">
                  <w:pPr>
                    <w:jc w:val="both"/>
                    <w:rPr>
                      <w:noProof/>
                      <w:lang w:val="en-GB"/>
                    </w:rPr>
                  </w:pPr>
                  <w:r>
                    <w:rPr>
                      <w:noProof/>
                      <w:lang w:val="en-GB"/>
                    </w:rPr>
                    <w:t>Atlikus KVS kokybės rodiklių vertinimą, matyti, jog daugelis rodiklių esti pasiekti arba perauga ribines reikšmes, tačiau atkreiptinas dėmesys į šiuos rodiklius:</w:t>
                  </w:r>
                </w:p>
                <w:p w14:paraId="59E97492" w14:textId="78F89321" w:rsidR="007830C5" w:rsidRPr="009C2074" w:rsidRDefault="007830C5" w:rsidP="007830C5">
                  <w:pPr>
                    <w:pStyle w:val="ListParagraph"/>
                    <w:numPr>
                      <w:ilvl w:val="0"/>
                      <w:numId w:val="24"/>
                    </w:numPr>
                    <w:jc w:val="both"/>
                    <w:rPr>
                      <w:noProof/>
                      <w:lang w:val="en-GB"/>
                    </w:rPr>
                  </w:pPr>
                  <w:r>
                    <w:rPr>
                      <w:color w:val="262626" w:themeColor="text1" w:themeTint="D9"/>
                    </w:rPr>
                    <w:t>Strateginių rodiklių įgyvendinimas siekia 73,3 proc. (ribinė reikšmė – 75 proc.). Nuoseklus užduočių valdymas vis dar sukelia problemų.</w:t>
                  </w:r>
                </w:p>
              </w:tc>
              <w:tc>
                <w:tcPr>
                  <w:tcW w:w="776" w:type="pct"/>
                  <w:vAlign w:val="center"/>
                </w:tcPr>
                <w:p w14:paraId="6C29E3D2" w14:textId="361F519A" w:rsidR="007830C5" w:rsidRPr="00681C4E" w:rsidRDefault="000D2E27" w:rsidP="00476CA0">
                  <w:pPr>
                    <w:rPr>
                      <w:noProof/>
                      <w:lang w:val="en-GB"/>
                    </w:rPr>
                  </w:pPr>
                  <w:r>
                    <w:rPr>
                      <w:noProof/>
                      <w:lang w:val="en-GB"/>
                    </w:rPr>
                    <w:t>Strategin</w:t>
                  </w:r>
                  <w:r w:rsidR="00476CA0">
                    <w:rPr>
                      <w:noProof/>
                      <w:lang w:val="en-GB"/>
                    </w:rPr>
                    <w:t xml:space="preserve">es užduotis </w:t>
                  </w:r>
                  <w:r w:rsidR="009D4BA0">
                    <w:rPr>
                      <w:noProof/>
                      <w:lang w:val="en-GB"/>
                    </w:rPr>
                    <w:t xml:space="preserve">perkelti ir </w:t>
                  </w:r>
                  <w:r w:rsidR="00476CA0">
                    <w:rPr>
                      <w:noProof/>
                      <w:lang w:val="en-GB"/>
                    </w:rPr>
                    <w:t>valdyti DVS sistemoje.</w:t>
                  </w:r>
                </w:p>
              </w:tc>
              <w:tc>
                <w:tcPr>
                  <w:tcW w:w="556" w:type="pct"/>
                  <w:vAlign w:val="center"/>
                </w:tcPr>
                <w:p w14:paraId="1E15E6E1" w14:textId="4B2192F9" w:rsidR="007830C5" w:rsidRPr="00681C4E" w:rsidRDefault="009D4BA0" w:rsidP="00476CA0">
                  <w:pPr>
                    <w:jc w:val="center"/>
                    <w:rPr>
                      <w:noProof/>
                      <w:lang w:val="en-GB"/>
                    </w:rPr>
                  </w:pPr>
                  <w:r>
                    <w:rPr>
                      <w:noProof/>
                      <w:lang w:val="en-GB"/>
                    </w:rPr>
                    <w:t>Metodininkas</w:t>
                  </w:r>
                </w:p>
              </w:tc>
              <w:tc>
                <w:tcPr>
                  <w:tcW w:w="515" w:type="pct"/>
                  <w:vAlign w:val="center"/>
                </w:tcPr>
                <w:p w14:paraId="4946F551" w14:textId="0769151D" w:rsidR="007830C5" w:rsidRPr="00681C4E" w:rsidRDefault="009D4BA0" w:rsidP="00476CA0">
                  <w:pPr>
                    <w:jc w:val="center"/>
                    <w:rPr>
                      <w:noProof/>
                      <w:lang w:val="en-GB"/>
                    </w:rPr>
                  </w:pPr>
                  <w:r>
                    <w:rPr>
                      <w:noProof/>
                      <w:lang w:val="en-GB"/>
                    </w:rPr>
                    <w:t>2022-09-01</w:t>
                  </w:r>
                </w:p>
              </w:tc>
            </w:tr>
            <w:tr w:rsidR="009D4BA0" w14:paraId="2B17807D" w14:textId="77777777" w:rsidTr="7BC4E2CD">
              <w:trPr>
                <w:trHeight w:val="927"/>
              </w:trPr>
              <w:tc>
                <w:tcPr>
                  <w:tcW w:w="565" w:type="pct"/>
                  <w:vMerge/>
                  <w:vAlign w:val="center"/>
                </w:tcPr>
                <w:p w14:paraId="48E99020" w14:textId="77777777" w:rsidR="009D4BA0" w:rsidRPr="00681C4E" w:rsidRDefault="009D4BA0" w:rsidP="009D4BA0">
                  <w:pPr>
                    <w:rPr>
                      <w:noProof/>
                      <w:lang w:val="en-GB"/>
                    </w:rPr>
                  </w:pPr>
                </w:p>
              </w:tc>
              <w:tc>
                <w:tcPr>
                  <w:tcW w:w="555" w:type="pct"/>
                  <w:vMerge/>
                  <w:vAlign w:val="center"/>
                </w:tcPr>
                <w:p w14:paraId="434AF9CF" w14:textId="77777777" w:rsidR="009D4BA0" w:rsidRDefault="009D4BA0" w:rsidP="009D4BA0">
                  <w:pPr>
                    <w:rPr>
                      <w:noProof/>
                      <w:lang w:val="en-GB"/>
                    </w:rPr>
                  </w:pPr>
                </w:p>
              </w:tc>
              <w:tc>
                <w:tcPr>
                  <w:tcW w:w="2032" w:type="pct"/>
                  <w:vAlign w:val="center"/>
                </w:tcPr>
                <w:p w14:paraId="2E5E6067" w14:textId="1885E2A1" w:rsidR="009D4BA0" w:rsidRPr="009C2074" w:rsidRDefault="009D4BA0" w:rsidP="009D4BA0">
                  <w:pPr>
                    <w:pStyle w:val="ListParagraph"/>
                    <w:numPr>
                      <w:ilvl w:val="0"/>
                      <w:numId w:val="24"/>
                    </w:numPr>
                    <w:jc w:val="both"/>
                    <w:rPr>
                      <w:noProof/>
                      <w:lang w:val="en-GB"/>
                    </w:rPr>
                  </w:pPr>
                  <w:r>
                    <w:rPr>
                      <w:color w:val="262626" w:themeColor="text1" w:themeTint="D9"/>
                    </w:rPr>
                    <w:t xml:space="preserve"> </w:t>
                  </w:r>
                  <w:r w:rsidRPr="0048630C">
                    <w:rPr>
                      <w:color w:val="262626" w:themeColor="text1" w:themeTint="D9"/>
                    </w:rPr>
                    <w:t>Rizikų valdymo plano įgyvendinimas</w:t>
                  </w:r>
                  <w:r>
                    <w:rPr>
                      <w:color w:val="262626" w:themeColor="text1" w:themeTint="D9"/>
                    </w:rPr>
                    <w:t xml:space="preserve"> siekia 80,9 proc. (ribinė reikšmė – 100 proc.). Galimai, trūksta rizikų valdymo praktikos ir užduočių valdymo efektyvinimo priemonių. Svarstytinas ribinės reikšmės dydis. </w:t>
                  </w:r>
                </w:p>
              </w:tc>
              <w:tc>
                <w:tcPr>
                  <w:tcW w:w="776" w:type="pct"/>
                  <w:vAlign w:val="center"/>
                </w:tcPr>
                <w:p w14:paraId="75A51FF7" w14:textId="20EAFE55" w:rsidR="009D4BA0" w:rsidRPr="00681C4E" w:rsidRDefault="009D4BA0" w:rsidP="009D4BA0">
                  <w:pPr>
                    <w:rPr>
                      <w:noProof/>
                      <w:lang w:val="en-GB"/>
                    </w:rPr>
                  </w:pPr>
                  <w:r>
                    <w:rPr>
                      <w:noProof/>
                      <w:lang w:val="en-GB"/>
                    </w:rPr>
                    <w:t>Rizikų valdymo priemones perkelti kaip užduotis į DVS.</w:t>
                  </w:r>
                </w:p>
              </w:tc>
              <w:tc>
                <w:tcPr>
                  <w:tcW w:w="556" w:type="pct"/>
                  <w:vAlign w:val="center"/>
                </w:tcPr>
                <w:p w14:paraId="5AC82AAF" w14:textId="23B09D02" w:rsidR="009D4BA0" w:rsidRPr="00681C4E" w:rsidRDefault="009D4BA0" w:rsidP="009D4BA0">
                  <w:pPr>
                    <w:rPr>
                      <w:noProof/>
                      <w:lang w:val="en-GB"/>
                    </w:rPr>
                  </w:pPr>
                  <w:r>
                    <w:rPr>
                      <w:noProof/>
                      <w:lang w:val="en-GB"/>
                    </w:rPr>
                    <w:t>Metodininkas</w:t>
                  </w:r>
                </w:p>
              </w:tc>
              <w:tc>
                <w:tcPr>
                  <w:tcW w:w="515" w:type="pct"/>
                  <w:vAlign w:val="center"/>
                </w:tcPr>
                <w:p w14:paraId="4C1A6167" w14:textId="498409A7" w:rsidR="009D4BA0" w:rsidRPr="00681C4E" w:rsidRDefault="009D4BA0" w:rsidP="009D4BA0">
                  <w:pPr>
                    <w:rPr>
                      <w:noProof/>
                      <w:lang w:val="en-GB"/>
                    </w:rPr>
                  </w:pPr>
                  <w:r>
                    <w:rPr>
                      <w:noProof/>
                      <w:lang w:val="en-GB"/>
                    </w:rPr>
                    <w:t>2022-09-01</w:t>
                  </w:r>
                </w:p>
              </w:tc>
            </w:tr>
            <w:tr w:rsidR="009D4BA0" w14:paraId="50A07797" w14:textId="77777777" w:rsidTr="7BC4E2CD">
              <w:trPr>
                <w:trHeight w:val="720"/>
              </w:trPr>
              <w:tc>
                <w:tcPr>
                  <w:tcW w:w="565" w:type="pct"/>
                  <w:vMerge/>
                  <w:vAlign w:val="center"/>
                </w:tcPr>
                <w:p w14:paraId="178840D0" w14:textId="77777777" w:rsidR="009D4BA0" w:rsidRPr="00681C4E" w:rsidRDefault="009D4BA0" w:rsidP="009D4BA0">
                  <w:pPr>
                    <w:rPr>
                      <w:noProof/>
                      <w:lang w:val="en-GB"/>
                    </w:rPr>
                  </w:pPr>
                </w:p>
              </w:tc>
              <w:tc>
                <w:tcPr>
                  <w:tcW w:w="555" w:type="pct"/>
                  <w:vMerge/>
                  <w:vAlign w:val="center"/>
                </w:tcPr>
                <w:p w14:paraId="612B252E" w14:textId="77777777" w:rsidR="009D4BA0" w:rsidRDefault="009D4BA0" w:rsidP="009D4BA0">
                  <w:pPr>
                    <w:rPr>
                      <w:noProof/>
                      <w:lang w:val="en-GB"/>
                    </w:rPr>
                  </w:pPr>
                </w:p>
              </w:tc>
              <w:tc>
                <w:tcPr>
                  <w:tcW w:w="2032" w:type="pct"/>
                  <w:vAlign w:val="center"/>
                </w:tcPr>
                <w:p w14:paraId="4F3E49B3" w14:textId="58EC5DCA" w:rsidR="009D4BA0" w:rsidRPr="009C2074" w:rsidRDefault="009D4BA0" w:rsidP="009D4BA0">
                  <w:pPr>
                    <w:pStyle w:val="ListParagraph"/>
                    <w:numPr>
                      <w:ilvl w:val="0"/>
                      <w:numId w:val="24"/>
                    </w:numPr>
                    <w:jc w:val="both"/>
                    <w:rPr>
                      <w:noProof/>
                      <w:lang w:val="en-GB"/>
                    </w:rPr>
                  </w:pPr>
                  <w:r w:rsidRPr="00732EE0">
                    <w:rPr>
                      <w:color w:val="262626" w:themeColor="text1" w:themeTint="D9"/>
                    </w:rPr>
                    <w:t>Mokinių pasitenkinimas mokymo kokybe</w:t>
                  </w:r>
                  <w:r>
                    <w:rPr>
                      <w:color w:val="262626" w:themeColor="text1" w:themeTint="D9"/>
                    </w:rPr>
                    <w:t xml:space="preserve"> (žr. temos </w:t>
                  </w:r>
                  <w:r w:rsidRPr="00732EE0">
                    <w:rPr>
                      <w:i/>
                      <w:noProof/>
                      <w:lang w:val="en-GB"/>
                    </w:rPr>
                    <w:t>Klientų pasitenkinimas ir grįžtamasis ryšys</w:t>
                  </w:r>
                  <w:r>
                    <w:rPr>
                      <w:i/>
                      <w:noProof/>
                      <w:lang w:val="en-GB"/>
                    </w:rPr>
                    <w:t xml:space="preserve"> iš svarbių suinteresuotų šalių</w:t>
                  </w:r>
                  <w:r>
                    <w:rPr>
                      <w:noProof/>
                      <w:lang w:val="en-GB"/>
                    </w:rPr>
                    <w:t xml:space="preserve"> išvadas). </w:t>
                  </w:r>
                </w:p>
              </w:tc>
              <w:tc>
                <w:tcPr>
                  <w:tcW w:w="776" w:type="pct"/>
                  <w:vAlign w:val="center"/>
                </w:tcPr>
                <w:p w14:paraId="239E38C3" w14:textId="09C964FA" w:rsidR="009D4BA0" w:rsidRPr="00681C4E" w:rsidRDefault="00BC3601" w:rsidP="00FF445F">
                  <w:pPr>
                    <w:rPr>
                      <w:noProof/>
                      <w:lang w:val="en-GB"/>
                    </w:rPr>
                  </w:pPr>
                  <w:r w:rsidRPr="00BC3601">
                    <w:rPr>
                      <w:noProof/>
                      <w:lang w:val="en-GB"/>
                    </w:rPr>
                    <w:t xml:space="preserve">Reorganizacijos metu pasinaudoti gerosiomis praktikomis </w:t>
                  </w:r>
                  <w:r w:rsidR="00FF445F">
                    <w:rPr>
                      <w:noProof/>
                      <w:lang w:val="en-GB"/>
                    </w:rPr>
                    <w:t>laikantis nuostatos, kad NPS – kliento lojalumo, bet nepamatuoja mokymo kokybės.</w:t>
                  </w:r>
                </w:p>
              </w:tc>
              <w:tc>
                <w:tcPr>
                  <w:tcW w:w="556" w:type="pct"/>
                  <w:vAlign w:val="center"/>
                </w:tcPr>
                <w:p w14:paraId="07F4576D" w14:textId="2FDD98E9" w:rsidR="009D4BA0" w:rsidRPr="00681C4E" w:rsidRDefault="00B1748F" w:rsidP="009D4BA0">
                  <w:pPr>
                    <w:rPr>
                      <w:noProof/>
                      <w:lang w:val="en-GB"/>
                    </w:rPr>
                  </w:pPr>
                  <w:r>
                    <w:rPr>
                      <w:noProof/>
                      <w:lang w:val="en-GB"/>
                    </w:rPr>
                    <w:t>Metodininkas</w:t>
                  </w:r>
                </w:p>
              </w:tc>
              <w:tc>
                <w:tcPr>
                  <w:tcW w:w="515" w:type="pct"/>
                  <w:vAlign w:val="center"/>
                </w:tcPr>
                <w:p w14:paraId="43CAA81F" w14:textId="6FADBA9E" w:rsidR="009D4BA0" w:rsidRPr="00681C4E" w:rsidRDefault="00B1748F" w:rsidP="009D4BA0">
                  <w:pPr>
                    <w:rPr>
                      <w:noProof/>
                      <w:lang w:val="en-GB"/>
                    </w:rPr>
                  </w:pPr>
                  <w:r>
                    <w:rPr>
                      <w:noProof/>
                      <w:lang w:val="en-GB"/>
                    </w:rPr>
                    <w:t>2022-12-30</w:t>
                  </w:r>
                </w:p>
              </w:tc>
            </w:tr>
            <w:tr w:rsidR="009D4BA0" w14:paraId="13135151" w14:textId="77777777" w:rsidTr="7BC4E2CD">
              <w:trPr>
                <w:trHeight w:val="450"/>
              </w:trPr>
              <w:tc>
                <w:tcPr>
                  <w:tcW w:w="565" w:type="pct"/>
                  <w:vMerge/>
                  <w:vAlign w:val="center"/>
                </w:tcPr>
                <w:p w14:paraId="36EBEB30" w14:textId="77777777" w:rsidR="009D4BA0" w:rsidRPr="00681C4E" w:rsidRDefault="009D4BA0" w:rsidP="009D4BA0">
                  <w:pPr>
                    <w:rPr>
                      <w:noProof/>
                      <w:lang w:val="en-GB"/>
                    </w:rPr>
                  </w:pPr>
                </w:p>
              </w:tc>
              <w:tc>
                <w:tcPr>
                  <w:tcW w:w="555" w:type="pct"/>
                  <w:vMerge/>
                  <w:vAlign w:val="center"/>
                </w:tcPr>
                <w:p w14:paraId="13AA6436" w14:textId="77777777" w:rsidR="009D4BA0" w:rsidRDefault="009D4BA0" w:rsidP="009D4BA0">
                  <w:pPr>
                    <w:rPr>
                      <w:noProof/>
                      <w:lang w:val="en-GB"/>
                    </w:rPr>
                  </w:pPr>
                </w:p>
              </w:tc>
              <w:tc>
                <w:tcPr>
                  <w:tcW w:w="2032" w:type="pct"/>
                  <w:vAlign w:val="center"/>
                </w:tcPr>
                <w:p w14:paraId="0AD321F2" w14:textId="2A6356BD" w:rsidR="009D4BA0" w:rsidRPr="009C2074" w:rsidRDefault="009D4BA0" w:rsidP="009D4BA0">
                  <w:pPr>
                    <w:pStyle w:val="ListParagraph"/>
                    <w:numPr>
                      <w:ilvl w:val="0"/>
                      <w:numId w:val="24"/>
                    </w:numPr>
                    <w:jc w:val="both"/>
                    <w:rPr>
                      <w:noProof/>
                      <w:lang w:val="en-GB"/>
                    </w:rPr>
                  </w:pPr>
                  <w:r>
                    <w:rPr>
                      <w:rStyle w:val="normaltextrun"/>
                      <w:color w:val="000000"/>
                      <w:bdr w:val="none" w:sz="0" w:space="0" w:color="auto" w:frame="1"/>
                    </w:rPr>
                    <w:t>Profesijos mokytojų, turinčių aukštąjį mokymo srities, išsilavinimą dalis siekia 77,2 proc. (ribinė reikšmė – 85 proc.).</w:t>
                  </w:r>
                </w:p>
              </w:tc>
              <w:tc>
                <w:tcPr>
                  <w:tcW w:w="776" w:type="pct"/>
                  <w:vAlign w:val="center"/>
                </w:tcPr>
                <w:p w14:paraId="60C9E879" w14:textId="6B3B1FA7" w:rsidR="009D4BA0" w:rsidRPr="00681C4E" w:rsidRDefault="00C42A7B" w:rsidP="009D4BA0">
                  <w:pPr>
                    <w:rPr>
                      <w:noProof/>
                      <w:lang w:val="en-GB"/>
                    </w:rPr>
                  </w:pPr>
                  <w:r>
                    <w:rPr>
                      <w:noProof/>
                      <w:lang w:val="en-GB"/>
                    </w:rPr>
                    <w:t>Rizikos valdymo priemonės įtrauktos į planą.</w:t>
                  </w:r>
                </w:p>
              </w:tc>
              <w:tc>
                <w:tcPr>
                  <w:tcW w:w="556" w:type="pct"/>
                  <w:vAlign w:val="center"/>
                </w:tcPr>
                <w:p w14:paraId="3CE86690" w14:textId="749C21BF" w:rsidR="009D4BA0" w:rsidRPr="00681C4E" w:rsidRDefault="00C42A7B" w:rsidP="00C42A7B">
                  <w:pPr>
                    <w:jc w:val="center"/>
                    <w:rPr>
                      <w:noProof/>
                      <w:lang w:val="en-GB"/>
                    </w:rPr>
                  </w:pPr>
                  <w:r>
                    <w:rPr>
                      <w:noProof/>
                      <w:lang w:val="en-GB"/>
                    </w:rPr>
                    <w:t>x</w:t>
                  </w:r>
                </w:p>
              </w:tc>
              <w:tc>
                <w:tcPr>
                  <w:tcW w:w="515" w:type="pct"/>
                  <w:vAlign w:val="center"/>
                </w:tcPr>
                <w:p w14:paraId="3AB37EC6" w14:textId="2D1AC0B0" w:rsidR="009D4BA0" w:rsidRPr="00681C4E" w:rsidRDefault="00C42A7B" w:rsidP="00C42A7B">
                  <w:pPr>
                    <w:jc w:val="center"/>
                    <w:rPr>
                      <w:noProof/>
                      <w:lang w:val="en-GB"/>
                    </w:rPr>
                  </w:pPr>
                  <w:r>
                    <w:rPr>
                      <w:noProof/>
                      <w:lang w:val="en-GB"/>
                    </w:rPr>
                    <w:t>x</w:t>
                  </w:r>
                </w:p>
              </w:tc>
            </w:tr>
            <w:tr w:rsidR="009D4BA0" w14:paraId="4AA92EFC" w14:textId="77777777" w:rsidTr="7BC4E2CD">
              <w:trPr>
                <w:trHeight w:val="535"/>
              </w:trPr>
              <w:tc>
                <w:tcPr>
                  <w:tcW w:w="565" w:type="pct"/>
                  <w:vMerge/>
                  <w:vAlign w:val="center"/>
                </w:tcPr>
                <w:p w14:paraId="530F349B" w14:textId="77777777" w:rsidR="009D4BA0" w:rsidRPr="00681C4E" w:rsidRDefault="009D4BA0" w:rsidP="009D4BA0">
                  <w:pPr>
                    <w:rPr>
                      <w:noProof/>
                      <w:lang w:val="en-GB"/>
                    </w:rPr>
                  </w:pPr>
                </w:p>
              </w:tc>
              <w:tc>
                <w:tcPr>
                  <w:tcW w:w="555" w:type="pct"/>
                  <w:vMerge/>
                  <w:vAlign w:val="center"/>
                </w:tcPr>
                <w:p w14:paraId="096201D1" w14:textId="77777777" w:rsidR="009D4BA0" w:rsidRDefault="009D4BA0" w:rsidP="009D4BA0">
                  <w:pPr>
                    <w:rPr>
                      <w:noProof/>
                      <w:lang w:val="en-GB"/>
                    </w:rPr>
                  </w:pPr>
                </w:p>
              </w:tc>
              <w:tc>
                <w:tcPr>
                  <w:tcW w:w="2032" w:type="pct"/>
                  <w:vAlign w:val="center"/>
                </w:tcPr>
                <w:p w14:paraId="0FEC6ACC" w14:textId="3E080E21" w:rsidR="009D4BA0" w:rsidRPr="009C2074" w:rsidRDefault="009D4BA0" w:rsidP="009D4BA0">
                  <w:pPr>
                    <w:pStyle w:val="ListParagraph"/>
                    <w:numPr>
                      <w:ilvl w:val="0"/>
                      <w:numId w:val="24"/>
                    </w:numPr>
                    <w:jc w:val="both"/>
                    <w:rPr>
                      <w:color w:val="262626" w:themeColor="text1" w:themeTint="D9"/>
                    </w:rPr>
                  </w:pPr>
                  <w:r w:rsidRPr="009C2074">
                    <w:rPr>
                      <w:noProof/>
                      <w:lang w:val="en-GB"/>
                    </w:rPr>
                    <w:t>Nebaigusių formaliojo profesinio mokymo programos asmenų dalis</w:t>
                  </w:r>
                  <w:r>
                    <w:rPr>
                      <w:noProof/>
                      <w:lang w:val="en-GB"/>
                    </w:rPr>
                    <w:t xml:space="preserve"> siekia 46,02 proc. (ribinė reikšmė – ne daugiau 15 proc.).</w:t>
                  </w:r>
                </w:p>
              </w:tc>
              <w:tc>
                <w:tcPr>
                  <w:tcW w:w="776" w:type="pct"/>
                  <w:vAlign w:val="center"/>
                </w:tcPr>
                <w:p w14:paraId="7BC9CC9A" w14:textId="400C2D92" w:rsidR="009D4BA0" w:rsidRPr="00681C4E" w:rsidRDefault="00C42A7B" w:rsidP="009D4BA0">
                  <w:pPr>
                    <w:rPr>
                      <w:noProof/>
                      <w:lang w:val="en-GB"/>
                    </w:rPr>
                  </w:pPr>
                  <w:r>
                    <w:rPr>
                      <w:noProof/>
                      <w:lang w:val="en-GB"/>
                    </w:rPr>
                    <w:t>Rizikos valdymo priemonės įtrauktos į planą.</w:t>
                  </w:r>
                </w:p>
              </w:tc>
              <w:tc>
                <w:tcPr>
                  <w:tcW w:w="556" w:type="pct"/>
                  <w:vAlign w:val="center"/>
                </w:tcPr>
                <w:p w14:paraId="07BB2E81" w14:textId="7E620292" w:rsidR="009D4BA0" w:rsidRPr="00681C4E" w:rsidRDefault="00C42A7B" w:rsidP="00C42A7B">
                  <w:pPr>
                    <w:jc w:val="center"/>
                    <w:rPr>
                      <w:noProof/>
                      <w:lang w:val="en-GB"/>
                    </w:rPr>
                  </w:pPr>
                  <w:r>
                    <w:rPr>
                      <w:noProof/>
                      <w:lang w:val="en-GB"/>
                    </w:rPr>
                    <w:t>x</w:t>
                  </w:r>
                </w:p>
              </w:tc>
              <w:tc>
                <w:tcPr>
                  <w:tcW w:w="515" w:type="pct"/>
                  <w:vAlign w:val="center"/>
                </w:tcPr>
                <w:p w14:paraId="32F3B666" w14:textId="67427E3D" w:rsidR="009D4BA0" w:rsidRPr="00681C4E" w:rsidRDefault="00C42A7B" w:rsidP="00C42A7B">
                  <w:pPr>
                    <w:jc w:val="center"/>
                    <w:rPr>
                      <w:noProof/>
                      <w:lang w:val="en-GB"/>
                    </w:rPr>
                  </w:pPr>
                  <w:r>
                    <w:rPr>
                      <w:noProof/>
                      <w:lang w:val="en-GB"/>
                    </w:rPr>
                    <w:t>x</w:t>
                  </w:r>
                </w:p>
              </w:tc>
            </w:tr>
            <w:tr w:rsidR="009D4BA0" w14:paraId="18C4F1BC" w14:textId="77777777" w:rsidTr="7BC4E2CD">
              <w:trPr>
                <w:trHeight w:val="1968"/>
              </w:trPr>
              <w:tc>
                <w:tcPr>
                  <w:tcW w:w="565" w:type="pct"/>
                  <w:vAlign w:val="center"/>
                </w:tcPr>
                <w:p w14:paraId="24982219" w14:textId="55FDEA25" w:rsidR="009D4BA0" w:rsidRPr="00681C4E" w:rsidRDefault="009D4BA0" w:rsidP="009D4BA0">
                  <w:pPr>
                    <w:rPr>
                      <w:noProof/>
                      <w:lang w:val="en-GB"/>
                    </w:rPr>
                  </w:pPr>
                  <w:r w:rsidRPr="00681C4E">
                    <w:rPr>
                      <w:noProof/>
                      <w:lang w:val="en-GB"/>
                    </w:rPr>
                    <w:lastRenderedPageBreak/>
                    <w:t>Neatiktys ir korekciniai veiksmai.</w:t>
                  </w:r>
                </w:p>
              </w:tc>
              <w:tc>
                <w:tcPr>
                  <w:tcW w:w="555" w:type="pct"/>
                  <w:vAlign w:val="center"/>
                </w:tcPr>
                <w:p w14:paraId="7B60DD43" w14:textId="5364D33E" w:rsidR="009D4BA0" w:rsidRPr="00A273AC" w:rsidRDefault="006E1277" w:rsidP="009D4BA0">
                  <w:pPr>
                    <w:rPr>
                      <w:noProof/>
                      <w:lang w:val="en-GB"/>
                    </w:rPr>
                  </w:pPr>
                  <w:hyperlink r:id="rId15" w:history="1">
                    <w:r w:rsidR="009D4BA0">
                      <w:rPr>
                        <w:rStyle w:val="Hyperlink"/>
                        <w:noProof/>
                        <w:lang w:val="en-GB"/>
                      </w:rPr>
                      <w:t>Neatitikčių valdymo / tobulinimo veiksmų žurnalas</w:t>
                    </w:r>
                  </w:hyperlink>
                  <w:r w:rsidR="009D4BA0">
                    <w:rPr>
                      <w:noProof/>
                      <w:lang w:val="en-GB"/>
                    </w:rPr>
                    <w:t xml:space="preserve"> (</w:t>
                  </w:r>
                  <w:r w:rsidR="009D4BA0">
                    <w:rPr>
                      <w:i/>
                      <w:noProof/>
                      <w:lang w:val="en-GB"/>
                    </w:rPr>
                    <w:t xml:space="preserve">Microsoft Teams </w:t>
                  </w:r>
                  <w:r w:rsidR="009D4BA0">
                    <w:rPr>
                      <w:noProof/>
                      <w:lang w:val="en-GB"/>
                    </w:rPr>
                    <w:t>aplinka)</w:t>
                  </w:r>
                </w:p>
              </w:tc>
              <w:tc>
                <w:tcPr>
                  <w:tcW w:w="2032" w:type="pct"/>
                  <w:vAlign w:val="center"/>
                </w:tcPr>
                <w:p w14:paraId="4E155EC8" w14:textId="65ECA6CC" w:rsidR="009D4BA0" w:rsidRPr="0011713D" w:rsidRDefault="009D4BA0" w:rsidP="009D4BA0">
                  <w:pPr>
                    <w:jc w:val="both"/>
                    <w:rPr>
                      <w:noProof/>
                      <w:lang w:val="en-GB"/>
                    </w:rPr>
                  </w:pPr>
                  <w:r w:rsidRPr="46E9229C">
                    <w:rPr>
                      <w:noProof/>
                      <w:lang w:val="en-GB"/>
                    </w:rPr>
                    <w:t xml:space="preserve">Žurnalas pradėtas naudoti 2021 m. paskutinį ketvirtį pasikeitus užduočių valdymo praktikai, tai yra pradėjus naudotis DVS. Žurnalą adminstruoja metodininkas, tačiau žurnalas prieinamas visiems darbuotojams </w:t>
                  </w:r>
                  <w:r w:rsidRPr="46E9229C">
                    <w:rPr>
                      <w:i/>
                      <w:iCs/>
                      <w:noProof/>
                      <w:lang w:val="en-GB"/>
                    </w:rPr>
                    <w:t>Microsoft Teams</w:t>
                  </w:r>
                  <w:r w:rsidRPr="46E9229C">
                    <w:rPr>
                      <w:noProof/>
                      <w:lang w:val="en-GB"/>
                    </w:rPr>
                    <w:t xml:space="preserve"> aplinkoje. Pastebėtina, kad žurnalas nėra plačiai naudojamas kitų organizacijos darbuotojų – galimai, nepatogus formatas, nėra suinteresuotumo, darbuotojai nėra tinkamai informuoti apie naudojimo galimybę ir pan. Aktualu suvienodinti reorganizuojamų organizacijų praktiką šiuo klausimu.</w:t>
                  </w:r>
                </w:p>
              </w:tc>
              <w:tc>
                <w:tcPr>
                  <w:tcW w:w="776" w:type="pct"/>
                  <w:vAlign w:val="center"/>
                </w:tcPr>
                <w:p w14:paraId="6F3AD1DD" w14:textId="77777777" w:rsidR="006873E9" w:rsidRDefault="006873E9" w:rsidP="00C42A7B">
                  <w:pPr>
                    <w:rPr>
                      <w:noProof/>
                      <w:lang w:val="en-GB"/>
                    </w:rPr>
                  </w:pPr>
                  <w:r>
                    <w:rPr>
                      <w:noProof/>
                      <w:lang w:val="en-GB"/>
                    </w:rPr>
                    <w:t>Reorganizacijos metu pasinaudoti gerosiomis praktikomis ir atnaujinti procesus pagal poreikį.</w:t>
                  </w:r>
                </w:p>
                <w:p w14:paraId="7E73277D" w14:textId="77777777" w:rsidR="006873E9" w:rsidRDefault="006873E9" w:rsidP="00C42A7B">
                  <w:pPr>
                    <w:rPr>
                      <w:noProof/>
                      <w:lang w:val="en-GB"/>
                    </w:rPr>
                  </w:pPr>
                </w:p>
                <w:p w14:paraId="24E1F9D9" w14:textId="5DE5A0E7" w:rsidR="009D4BA0" w:rsidRPr="00681C4E" w:rsidRDefault="006873E9" w:rsidP="006873E9">
                  <w:pPr>
                    <w:rPr>
                      <w:noProof/>
                      <w:lang w:val="en-GB"/>
                    </w:rPr>
                  </w:pPr>
                  <w:r>
                    <w:rPr>
                      <w:noProof/>
                      <w:lang w:val="en-GB"/>
                    </w:rPr>
                    <w:t>P</w:t>
                  </w:r>
                  <w:r w:rsidR="00A914D8">
                    <w:rPr>
                      <w:noProof/>
                      <w:lang w:val="en-GB"/>
                    </w:rPr>
                    <w:t>ageidautina</w:t>
                  </w:r>
                  <w:r>
                    <w:rPr>
                      <w:noProof/>
                      <w:lang w:val="en-GB"/>
                    </w:rPr>
                    <w:t xml:space="preserve"> </w:t>
                  </w:r>
                  <w:r w:rsidR="00C42A7B">
                    <w:rPr>
                      <w:noProof/>
                      <w:lang w:val="en-GB"/>
                    </w:rPr>
                    <w:t xml:space="preserve">užduotis </w:t>
                  </w:r>
                  <w:r w:rsidR="00A914D8">
                    <w:rPr>
                      <w:noProof/>
                      <w:lang w:val="en-GB"/>
                    </w:rPr>
                    <w:t xml:space="preserve">jau nuo šios analizės patvirinimo </w:t>
                  </w:r>
                  <w:r w:rsidR="00C42A7B">
                    <w:rPr>
                      <w:noProof/>
                      <w:lang w:val="en-GB"/>
                    </w:rPr>
                    <w:t>DVS skir</w:t>
                  </w:r>
                  <w:r>
                    <w:rPr>
                      <w:noProof/>
                      <w:lang w:val="en-GB"/>
                    </w:rPr>
                    <w:t xml:space="preserve">ti </w:t>
                  </w:r>
                  <w:r w:rsidR="009D4BA0" w:rsidRPr="46E9229C">
                    <w:rPr>
                      <w:noProof/>
                      <w:lang w:val="en-GB"/>
                    </w:rPr>
                    <w:t>vienam žmog</w:t>
                  </w:r>
                  <w:r>
                    <w:rPr>
                      <w:noProof/>
                      <w:lang w:val="en-GB"/>
                    </w:rPr>
                    <w:t>ui, o ne jų grupei.</w:t>
                  </w:r>
                </w:p>
              </w:tc>
              <w:tc>
                <w:tcPr>
                  <w:tcW w:w="556" w:type="pct"/>
                  <w:vAlign w:val="center"/>
                </w:tcPr>
                <w:p w14:paraId="0C3AAF7C" w14:textId="346AE2A8" w:rsidR="009D4BA0" w:rsidRPr="00681C4E" w:rsidRDefault="006873E9" w:rsidP="009D4BA0">
                  <w:pPr>
                    <w:rPr>
                      <w:noProof/>
                      <w:lang w:val="en-GB"/>
                    </w:rPr>
                  </w:pPr>
                  <w:r>
                    <w:rPr>
                      <w:noProof/>
                      <w:lang w:val="en-GB"/>
                    </w:rPr>
                    <w:t>Metodininkas</w:t>
                  </w:r>
                </w:p>
              </w:tc>
              <w:tc>
                <w:tcPr>
                  <w:tcW w:w="515" w:type="pct"/>
                  <w:vAlign w:val="center"/>
                </w:tcPr>
                <w:p w14:paraId="426ADD9F" w14:textId="4784A19C" w:rsidR="009D4BA0" w:rsidRPr="00681C4E" w:rsidRDefault="006873E9" w:rsidP="009D4BA0">
                  <w:pPr>
                    <w:rPr>
                      <w:noProof/>
                      <w:lang w:val="en-GB"/>
                    </w:rPr>
                  </w:pPr>
                  <w:r>
                    <w:rPr>
                      <w:noProof/>
                      <w:lang w:val="en-GB"/>
                    </w:rPr>
                    <w:t>2022-12-30</w:t>
                  </w:r>
                </w:p>
              </w:tc>
            </w:tr>
            <w:tr w:rsidR="009D4BA0" w14:paraId="50EDED78" w14:textId="77777777" w:rsidTr="7BC4E2CD">
              <w:trPr>
                <w:cantSplit/>
                <w:trHeight w:val="5629"/>
              </w:trPr>
              <w:tc>
                <w:tcPr>
                  <w:tcW w:w="565" w:type="pct"/>
                  <w:vAlign w:val="center"/>
                </w:tcPr>
                <w:p w14:paraId="57EDE220" w14:textId="4817E36B" w:rsidR="009D4BA0" w:rsidRPr="00681C4E" w:rsidRDefault="009D4BA0" w:rsidP="009D4BA0">
                  <w:pPr>
                    <w:rPr>
                      <w:noProof/>
                      <w:lang w:val="en-GB"/>
                    </w:rPr>
                  </w:pPr>
                  <w:r w:rsidRPr="00681C4E">
                    <w:rPr>
                      <w:noProof/>
                      <w:lang w:val="en-GB"/>
                    </w:rPr>
                    <w:lastRenderedPageBreak/>
                    <w:t>Audito rezultatai.</w:t>
                  </w:r>
                </w:p>
              </w:tc>
              <w:tc>
                <w:tcPr>
                  <w:tcW w:w="555" w:type="pct"/>
                  <w:vAlign w:val="center"/>
                </w:tcPr>
                <w:p w14:paraId="5C08DDA9" w14:textId="585BFBD9" w:rsidR="009D4BA0" w:rsidRPr="001E7590" w:rsidRDefault="006E1277" w:rsidP="009D4BA0">
                  <w:pPr>
                    <w:rPr>
                      <w:noProof/>
                      <w:lang w:val="en-GB"/>
                    </w:rPr>
                  </w:pPr>
                  <w:hyperlink r:id="rId16" w:history="1">
                    <w:r w:rsidR="009D4BA0" w:rsidRPr="001E7590">
                      <w:rPr>
                        <w:rStyle w:val="Hyperlink"/>
                        <w:noProof/>
                        <w:lang w:val="en-GB"/>
                      </w:rPr>
                      <w:t>Vidaus audito ataskaita</w:t>
                    </w:r>
                  </w:hyperlink>
                  <w:r w:rsidR="009D4BA0">
                    <w:rPr>
                      <w:noProof/>
                      <w:lang w:val="en-GB"/>
                    </w:rPr>
                    <w:t xml:space="preserve"> (žr. </w:t>
                  </w:r>
                  <w:r w:rsidR="009D4BA0">
                    <w:rPr>
                      <w:i/>
                      <w:noProof/>
                      <w:lang w:val="en-GB"/>
                    </w:rPr>
                    <w:t>veiklos ataskaitos</w:t>
                  </w:r>
                  <w:r w:rsidR="009D4BA0">
                    <w:rPr>
                      <w:noProof/>
                      <w:lang w:val="en-GB"/>
                    </w:rPr>
                    <w:t>)</w:t>
                  </w:r>
                </w:p>
              </w:tc>
              <w:tc>
                <w:tcPr>
                  <w:tcW w:w="2032" w:type="pct"/>
                  <w:vAlign w:val="center"/>
                </w:tcPr>
                <w:p w14:paraId="2AA54CA0" w14:textId="2B0FA96E" w:rsidR="009D4BA0" w:rsidRDefault="009D4BA0" w:rsidP="009D4BA0">
                  <w:pPr>
                    <w:jc w:val="both"/>
                    <w:rPr>
                      <w:noProof/>
                      <w:lang w:val="en-GB"/>
                    </w:rPr>
                  </w:pPr>
                  <w:r>
                    <w:rPr>
                      <w:noProof/>
                      <w:lang w:val="en-GB"/>
                    </w:rPr>
                    <w:t>2021 m. auditas nebuvo organizuotas numatytu laiku, tai yra paskutinį metų ketvirtį, tačiau 2022 m. pirmąjį ketvirtį atliktas auditas kartu su išorės auditoriumi kaip konsultantu. Įvertinus audituojamų procesų atskirus elementus nustatyta atitikties standarto reikalavimams apimtis:</w:t>
                  </w:r>
                </w:p>
                <w:p w14:paraId="6F431B6C" w14:textId="064F8678" w:rsidR="009D4BA0" w:rsidRDefault="009D4BA0" w:rsidP="009D4BA0">
                  <w:pPr>
                    <w:pStyle w:val="ListParagraph"/>
                    <w:numPr>
                      <w:ilvl w:val="0"/>
                      <w:numId w:val="25"/>
                    </w:numPr>
                    <w:jc w:val="both"/>
                    <w:rPr>
                      <w:noProof/>
                      <w:lang w:val="en-GB"/>
                    </w:rPr>
                  </w:pPr>
                  <w:r>
                    <w:rPr>
                      <w:noProof/>
                      <w:lang w:val="en-GB"/>
                    </w:rPr>
                    <w:t xml:space="preserve">93 proc. – </w:t>
                  </w:r>
                  <w:r>
                    <w:rPr>
                      <w:i/>
                      <w:noProof/>
                      <w:lang w:val="en-GB"/>
                    </w:rPr>
                    <w:t xml:space="preserve">Pokyčių valdymas – </w:t>
                  </w:r>
                  <w:r>
                    <w:rPr>
                      <w:noProof/>
                      <w:lang w:val="en-GB"/>
                    </w:rPr>
                    <w:t>problema išlieka savalaikis veiklos planų parengimas ir procesų šeimininkų atsakomybė už proceso rezultatus.</w:t>
                  </w:r>
                </w:p>
                <w:p w14:paraId="12C1D09C" w14:textId="128061D6" w:rsidR="009D4BA0" w:rsidRDefault="009D4BA0" w:rsidP="009D4BA0">
                  <w:pPr>
                    <w:pStyle w:val="ListParagraph"/>
                    <w:numPr>
                      <w:ilvl w:val="0"/>
                      <w:numId w:val="25"/>
                    </w:numPr>
                    <w:jc w:val="both"/>
                    <w:rPr>
                      <w:noProof/>
                      <w:lang w:val="en-GB"/>
                    </w:rPr>
                  </w:pPr>
                  <w:r>
                    <w:rPr>
                      <w:noProof/>
                      <w:lang w:val="en-GB"/>
                    </w:rPr>
                    <w:t xml:space="preserve">93 proc. – </w:t>
                  </w:r>
                  <w:r>
                    <w:rPr>
                      <w:i/>
                      <w:noProof/>
                      <w:lang w:val="en-GB"/>
                    </w:rPr>
                    <w:t>Ugdymo proceso organizavimas</w:t>
                  </w:r>
                  <w:r>
                    <w:rPr>
                      <w:noProof/>
                      <w:lang w:val="en-GB"/>
                    </w:rPr>
                    <w:t xml:space="preserve"> – nesistemingai pateikiami vertinimo tvarkaraščiai.</w:t>
                  </w:r>
                </w:p>
                <w:p w14:paraId="0F43AAF1" w14:textId="08161FE0" w:rsidR="009D4BA0" w:rsidRDefault="009D4BA0" w:rsidP="009D4BA0">
                  <w:pPr>
                    <w:pStyle w:val="ListParagraph"/>
                    <w:numPr>
                      <w:ilvl w:val="0"/>
                      <w:numId w:val="25"/>
                    </w:numPr>
                    <w:jc w:val="both"/>
                    <w:rPr>
                      <w:noProof/>
                      <w:lang w:val="en-GB"/>
                    </w:rPr>
                  </w:pPr>
                  <w:r>
                    <w:rPr>
                      <w:noProof/>
                      <w:lang w:val="en-GB"/>
                    </w:rPr>
                    <w:t xml:space="preserve">87 proc. – </w:t>
                  </w:r>
                  <w:r>
                    <w:rPr>
                      <w:i/>
                      <w:noProof/>
                      <w:lang w:val="en-GB"/>
                    </w:rPr>
                    <w:t>Infrastruktūra ir aprūpinimas</w:t>
                  </w:r>
                  <w:r>
                    <w:rPr>
                      <w:noProof/>
                      <w:lang w:val="en-GB"/>
                    </w:rPr>
                    <w:t xml:space="preserve"> – nesistemingas įrengimų profilaktinės priežiūros planų rengimas, vykdymas ir kontrolė. </w:t>
                  </w:r>
                </w:p>
                <w:p w14:paraId="67D23647" w14:textId="547B0A1C" w:rsidR="009D4BA0" w:rsidRDefault="009D4BA0" w:rsidP="009D4BA0">
                  <w:pPr>
                    <w:pStyle w:val="ListParagraph"/>
                    <w:numPr>
                      <w:ilvl w:val="0"/>
                      <w:numId w:val="25"/>
                    </w:numPr>
                    <w:jc w:val="both"/>
                    <w:rPr>
                      <w:noProof/>
                      <w:lang w:val="en-GB"/>
                    </w:rPr>
                  </w:pPr>
                  <w:r>
                    <w:rPr>
                      <w:noProof/>
                      <w:lang w:val="en-GB"/>
                    </w:rPr>
                    <w:t xml:space="preserve">87 proc. – </w:t>
                  </w:r>
                  <w:r>
                    <w:rPr>
                      <w:i/>
                      <w:noProof/>
                      <w:lang w:val="en-GB"/>
                    </w:rPr>
                    <w:t>Rinkodara ir bendradarbiavimas</w:t>
                  </w:r>
                  <w:r>
                    <w:rPr>
                      <w:noProof/>
                      <w:lang w:val="en-GB"/>
                    </w:rPr>
                    <w:t xml:space="preserve"> – nesisteminga sutartinių įsipareigojimų su partneriais kontrolė bei vadovavimasis nepatvirtintu rinkodaros planu.</w:t>
                  </w:r>
                </w:p>
                <w:p w14:paraId="0C933AE1" w14:textId="73AD8917" w:rsidR="009D4BA0" w:rsidRDefault="009D4BA0" w:rsidP="009D4BA0">
                  <w:pPr>
                    <w:pStyle w:val="ListParagraph"/>
                    <w:numPr>
                      <w:ilvl w:val="0"/>
                      <w:numId w:val="25"/>
                    </w:numPr>
                    <w:jc w:val="both"/>
                    <w:rPr>
                      <w:noProof/>
                      <w:lang w:val="en-GB"/>
                    </w:rPr>
                  </w:pPr>
                  <w:r>
                    <w:rPr>
                      <w:noProof/>
                      <w:lang w:val="en-GB"/>
                    </w:rPr>
                    <w:t xml:space="preserve">80 proc. – </w:t>
                  </w:r>
                  <w:r>
                    <w:rPr>
                      <w:i/>
                      <w:noProof/>
                      <w:lang w:val="en-GB"/>
                    </w:rPr>
                    <w:t>Personalo valdymas</w:t>
                  </w:r>
                  <w:r>
                    <w:rPr>
                      <w:noProof/>
                      <w:lang w:val="en-GB"/>
                    </w:rPr>
                    <w:t xml:space="preserve"> – mentoriaus naujam darbuotojui nesistemingas skyrimas, fragmentuotas gerosios patirties pasidalijimo procesas, terminų nesilaikymas dėl darbą palikusių asmenų atjungimo nuo el. administravimo ir komunikavimo sistemų.</w:t>
                  </w:r>
                </w:p>
                <w:p w14:paraId="38F04BB4" w14:textId="77777777" w:rsidR="009D4BA0" w:rsidRDefault="009D4BA0" w:rsidP="009D4BA0">
                  <w:pPr>
                    <w:pStyle w:val="ListParagraph"/>
                    <w:numPr>
                      <w:ilvl w:val="0"/>
                      <w:numId w:val="25"/>
                    </w:numPr>
                    <w:jc w:val="both"/>
                    <w:rPr>
                      <w:noProof/>
                      <w:lang w:val="en-GB"/>
                    </w:rPr>
                  </w:pPr>
                  <w:r>
                    <w:rPr>
                      <w:noProof/>
                      <w:lang w:val="en-GB"/>
                    </w:rPr>
                    <w:t xml:space="preserve">80 proc. – </w:t>
                  </w:r>
                  <w:r>
                    <w:rPr>
                      <w:i/>
                      <w:noProof/>
                      <w:lang w:val="en-GB"/>
                    </w:rPr>
                    <w:t>Pagalba mokiniui</w:t>
                  </w:r>
                  <w:r>
                    <w:rPr>
                      <w:noProof/>
                      <w:lang w:val="en-GB"/>
                    </w:rPr>
                    <w:t xml:space="preserve"> – nesistemingas vtmc.lt pašto mokiniams naudojimas, ne visiems mokiniams prieinama karjeros ugdymo paslauga ir informacija apie galimybes, nesudaryta potencialių darbdavių duombazė.</w:t>
                  </w:r>
                </w:p>
                <w:p w14:paraId="5B2C75C8" w14:textId="792F9780" w:rsidR="009D4BA0" w:rsidRPr="00F72F4D" w:rsidRDefault="009D4BA0" w:rsidP="009D4BA0">
                  <w:pPr>
                    <w:jc w:val="both"/>
                    <w:rPr>
                      <w:noProof/>
                      <w:lang w:val="en-GB"/>
                    </w:rPr>
                  </w:pPr>
                  <w:r>
                    <w:rPr>
                      <w:noProof/>
                      <w:lang w:val="en-GB"/>
                    </w:rPr>
                    <w:t xml:space="preserve">Užfiskuotos neatitiktys, užregistruotos </w:t>
                  </w:r>
                  <w:r>
                    <w:rPr>
                      <w:i/>
                      <w:noProof/>
                      <w:lang w:val="en-GB"/>
                    </w:rPr>
                    <w:t>Neatitikčių valdymo žurnale</w:t>
                  </w:r>
                  <w:r>
                    <w:rPr>
                      <w:noProof/>
                      <w:lang w:val="en-GB"/>
                    </w:rPr>
                    <w:t xml:space="preserve"> ir perkeltos kaip užduotys į DVS. </w:t>
                  </w:r>
                </w:p>
              </w:tc>
              <w:tc>
                <w:tcPr>
                  <w:tcW w:w="776" w:type="pct"/>
                  <w:vAlign w:val="center"/>
                </w:tcPr>
                <w:p w14:paraId="64874F79" w14:textId="17B7C423" w:rsidR="00A914D8" w:rsidRPr="00681C4E" w:rsidRDefault="00A914D8" w:rsidP="00A914D8">
                  <w:pPr>
                    <w:rPr>
                      <w:noProof/>
                      <w:lang w:val="en-GB"/>
                    </w:rPr>
                  </w:pPr>
                  <w:r>
                    <w:rPr>
                      <w:noProof/>
                      <w:lang w:val="en-GB"/>
                    </w:rPr>
                    <w:t>Reorganizacijos metu pasinaudoti gerosiomis praktikomis ir atnauj</w:t>
                  </w:r>
                  <w:r w:rsidR="00233FFB">
                    <w:rPr>
                      <w:noProof/>
                      <w:lang w:val="en-GB"/>
                    </w:rPr>
                    <w:t>inti procesus pagal poreikį prioritetą teikiant procesams, aktualiems rugsėjo-spalio mėn.</w:t>
                  </w:r>
                </w:p>
                <w:p w14:paraId="53AF6E3E" w14:textId="4F513E3F" w:rsidR="009D4BA0" w:rsidRPr="00681C4E" w:rsidRDefault="009D4BA0" w:rsidP="009D4BA0">
                  <w:pPr>
                    <w:rPr>
                      <w:noProof/>
                      <w:lang w:val="en-GB"/>
                    </w:rPr>
                  </w:pPr>
                </w:p>
              </w:tc>
              <w:tc>
                <w:tcPr>
                  <w:tcW w:w="556" w:type="pct"/>
                  <w:vAlign w:val="center"/>
                </w:tcPr>
                <w:p w14:paraId="0C2532A5" w14:textId="6DE69AB4" w:rsidR="009D4BA0" w:rsidRPr="00681C4E" w:rsidRDefault="00A914D8" w:rsidP="009D4BA0">
                  <w:pPr>
                    <w:rPr>
                      <w:noProof/>
                      <w:lang w:val="en-GB"/>
                    </w:rPr>
                  </w:pPr>
                  <w:r>
                    <w:rPr>
                      <w:noProof/>
                      <w:lang w:val="en-GB"/>
                    </w:rPr>
                    <w:t>Metodininkas</w:t>
                  </w:r>
                </w:p>
              </w:tc>
              <w:tc>
                <w:tcPr>
                  <w:tcW w:w="515" w:type="pct"/>
                  <w:vAlign w:val="center"/>
                </w:tcPr>
                <w:p w14:paraId="0A14898F" w14:textId="0770BF80" w:rsidR="009D4BA0" w:rsidRPr="00681C4E" w:rsidRDefault="00A914D8" w:rsidP="009D4BA0">
                  <w:pPr>
                    <w:rPr>
                      <w:noProof/>
                      <w:lang w:val="en-GB"/>
                    </w:rPr>
                  </w:pPr>
                  <w:r>
                    <w:rPr>
                      <w:noProof/>
                      <w:lang w:val="en-GB"/>
                    </w:rPr>
                    <w:t>2022-12-30</w:t>
                  </w:r>
                </w:p>
              </w:tc>
            </w:tr>
            <w:tr w:rsidR="009D4BA0" w14:paraId="5A57DE07" w14:textId="77777777" w:rsidTr="7BC4E2CD">
              <w:trPr>
                <w:trHeight w:val="977"/>
              </w:trPr>
              <w:tc>
                <w:tcPr>
                  <w:tcW w:w="565" w:type="pct"/>
                  <w:vMerge w:val="restart"/>
                  <w:vAlign w:val="center"/>
                </w:tcPr>
                <w:p w14:paraId="230669C1" w14:textId="10BA4273" w:rsidR="009D4BA0" w:rsidRPr="00681C4E" w:rsidRDefault="009D4BA0" w:rsidP="009D4BA0">
                  <w:pPr>
                    <w:rPr>
                      <w:noProof/>
                      <w:lang w:val="en-GB"/>
                    </w:rPr>
                  </w:pPr>
                  <w:r w:rsidRPr="00681C4E">
                    <w:rPr>
                      <w:noProof/>
                      <w:lang w:val="en-GB"/>
                    </w:rPr>
                    <w:t>Rizikų ir galimybių valdymas.</w:t>
                  </w:r>
                </w:p>
              </w:tc>
              <w:tc>
                <w:tcPr>
                  <w:tcW w:w="555" w:type="pct"/>
                  <w:vMerge w:val="restart"/>
                  <w:vAlign w:val="center"/>
                </w:tcPr>
                <w:p w14:paraId="2DCF84F3" w14:textId="68382E8C" w:rsidR="009D4BA0" w:rsidRPr="00EB55E6" w:rsidRDefault="006E1277" w:rsidP="009D4BA0">
                  <w:pPr>
                    <w:rPr>
                      <w:noProof/>
                      <w:lang w:val="en-GB"/>
                    </w:rPr>
                  </w:pPr>
                  <w:hyperlink r:id="rId17" w:history="1">
                    <w:r w:rsidR="009D4BA0">
                      <w:rPr>
                        <w:rStyle w:val="Hyperlink"/>
                        <w:noProof/>
                        <w:lang w:val="en-GB"/>
                      </w:rPr>
                      <w:t>Rizikų valdymo planas-ataskaita</w:t>
                    </w:r>
                  </w:hyperlink>
                  <w:r w:rsidR="009D4BA0">
                    <w:rPr>
                      <w:noProof/>
                      <w:lang w:val="en-GB"/>
                    </w:rPr>
                    <w:t xml:space="preserve"> (žr. </w:t>
                  </w:r>
                  <w:r w:rsidR="009D4BA0">
                    <w:rPr>
                      <w:i/>
                      <w:noProof/>
                      <w:lang w:val="en-GB"/>
                    </w:rPr>
                    <w:t>Veiklos ataskaitos</w:t>
                  </w:r>
                  <w:r w:rsidR="009D4BA0">
                    <w:rPr>
                      <w:noProof/>
                      <w:lang w:val="en-GB"/>
                    </w:rPr>
                    <w:t xml:space="preserve">). </w:t>
                  </w:r>
                </w:p>
                <w:p w14:paraId="36AB3E03" w14:textId="77777777" w:rsidR="009D4BA0" w:rsidRPr="00A20F53" w:rsidRDefault="009D4BA0" w:rsidP="009D4BA0">
                  <w:pPr>
                    <w:rPr>
                      <w:noProof/>
                      <w:lang w:val="en-GB"/>
                    </w:rPr>
                  </w:pPr>
                </w:p>
                <w:p w14:paraId="4813D539" w14:textId="129FB201" w:rsidR="009D4BA0" w:rsidRPr="00A20F53" w:rsidRDefault="006E1277" w:rsidP="009D4BA0">
                  <w:pPr>
                    <w:rPr>
                      <w:noProof/>
                      <w:lang w:val="en-GB"/>
                    </w:rPr>
                  </w:pPr>
                  <w:hyperlink r:id="rId18" w:history="1">
                    <w:r w:rsidR="009D4BA0">
                      <w:rPr>
                        <w:rStyle w:val="Hyperlink"/>
                        <w:noProof/>
                        <w:lang w:val="en-GB"/>
                      </w:rPr>
                      <w:t>2022 m. rizikų valdymo plano projektas</w:t>
                    </w:r>
                  </w:hyperlink>
                  <w:r w:rsidR="009D4BA0">
                    <w:rPr>
                      <w:noProof/>
                      <w:lang w:val="en-GB"/>
                    </w:rPr>
                    <w:t xml:space="preserve"> (DVS)</w:t>
                  </w:r>
                </w:p>
              </w:tc>
              <w:tc>
                <w:tcPr>
                  <w:tcW w:w="2032" w:type="pct"/>
                  <w:vAlign w:val="center"/>
                </w:tcPr>
                <w:p w14:paraId="3BE7C9D1" w14:textId="016A58B0" w:rsidR="009D4BA0" w:rsidRPr="00090B5D" w:rsidRDefault="009D4BA0" w:rsidP="009D4BA0">
                  <w:pPr>
                    <w:jc w:val="both"/>
                    <w:rPr>
                      <w:noProof/>
                      <w:lang w:val="en-GB"/>
                    </w:rPr>
                  </w:pPr>
                  <w:r>
                    <w:rPr>
                      <w:noProof/>
                      <w:lang w:val="en-GB"/>
                    </w:rPr>
                    <w:t xml:space="preserve">Rizikos ir galimybės, KVS kontekste pradėtos valdyti 2021 m. (žr. temos </w:t>
                  </w:r>
                  <w:r w:rsidRPr="00F72F4D">
                    <w:rPr>
                      <w:i/>
                      <w:noProof/>
                      <w:lang w:val="en-GB"/>
                    </w:rPr>
                    <w:t>Praėjusių metų vertinamo</w:t>
                  </w:r>
                  <w:r>
                    <w:rPr>
                      <w:i/>
                      <w:noProof/>
                      <w:lang w:val="en-GB"/>
                    </w:rPr>
                    <w:t>sios analizės nutarimų vykdymas</w:t>
                  </w:r>
                  <w:r>
                    <w:rPr>
                      <w:noProof/>
                      <w:lang w:val="en-GB"/>
                    </w:rPr>
                    <w:t xml:space="preserve"> išvadas). Rizikų valdymas yra KVS kokybės rodiklis (žr. temos </w:t>
                  </w:r>
                  <w:r w:rsidRPr="00090B5D">
                    <w:rPr>
                      <w:i/>
                      <w:noProof/>
                      <w:lang w:val="en-GB"/>
                    </w:rPr>
                    <w:t>Ko</w:t>
                  </w:r>
                  <w:r>
                    <w:rPr>
                      <w:i/>
                      <w:noProof/>
                      <w:lang w:val="en-GB"/>
                    </w:rPr>
                    <w:t xml:space="preserve">kybės tikslų pasiekimo laipsnis </w:t>
                  </w:r>
                  <w:r>
                    <w:rPr>
                      <w:noProof/>
                      <w:lang w:val="en-GB"/>
                    </w:rPr>
                    <w:t>išvados).</w:t>
                  </w:r>
                </w:p>
              </w:tc>
              <w:tc>
                <w:tcPr>
                  <w:tcW w:w="776" w:type="pct"/>
                  <w:vAlign w:val="center"/>
                </w:tcPr>
                <w:p w14:paraId="46363629" w14:textId="26789B15" w:rsidR="009D4BA0" w:rsidRPr="00681C4E" w:rsidRDefault="00233FFB" w:rsidP="009D4BA0">
                  <w:pPr>
                    <w:rPr>
                      <w:noProof/>
                      <w:lang w:val="en-GB"/>
                    </w:rPr>
                  </w:pPr>
                  <w:r>
                    <w:rPr>
                      <w:noProof/>
                      <w:lang w:val="en-GB"/>
                    </w:rPr>
                    <w:t>Koreguoti rizikų plano terminus remiantis šios analizės sprendimais.</w:t>
                  </w:r>
                </w:p>
              </w:tc>
              <w:tc>
                <w:tcPr>
                  <w:tcW w:w="556" w:type="pct"/>
                  <w:vAlign w:val="center"/>
                </w:tcPr>
                <w:p w14:paraId="28C89791" w14:textId="78FCE272" w:rsidR="009D4BA0" w:rsidRPr="00681C4E" w:rsidRDefault="00233FFB" w:rsidP="009D4BA0">
                  <w:pPr>
                    <w:rPr>
                      <w:noProof/>
                      <w:lang w:val="en-GB"/>
                    </w:rPr>
                  </w:pPr>
                  <w:r>
                    <w:rPr>
                      <w:noProof/>
                      <w:lang w:val="en-GB"/>
                    </w:rPr>
                    <w:t>Metodininkas</w:t>
                  </w:r>
                </w:p>
              </w:tc>
              <w:tc>
                <w:tcPr>
                  <w:tcW w:w="515" w:type="pct"/>
                  <w:vAlign w:val="center"/>
                </w:tcPr>
                <w:p w14:paraId="326B52E5" w14:textId="047988D9" w:rsidR="009D4BA0" w:rsidRPr="00681C4E" w:rsidRDefault="00233FFB" w:rsidP="009D4BA0">
                  <w:pPr>
                    <w:rPr>
                      <w:noProof/>
                      <w:lang w:val="en-GB"/>
                    </w:rPr>
                  </w:pPr>
                  <w:r>
                    <w:rPr>
                      <w:noProof/>
                      <w:lang w:val="en-GB"/>
                    </w:rPr>
                    <w:t>2022-</w:t>
                  </w:r>
                  <w:r w:rsidR="002F3F3D">
                    <w:rPr>
                      <w:noProof/>
                      <w:lang w:val="en-GB"/>
                    </w:rPr>
                    <w:t>09-01</w:t>
                  </w:r>
                </w:p>
              </w:tc>
            </w:tr>
            <w:tr w:rsidR="009D4BA0" w14:paraId="789ED0E4" w14:textId="77777777" w:rsidTr="7BC4E2CD">
              <w:trPr>
                <w:trHeight w:val="900"/>
              </w:trPr>
              <w:tc>
                <w:tcPr>
                  <w:tcW w:w="565" w:type="pct"/>
                  <w:vMerge/>
                  <w:vAlign w:val="center"/>
                </w:tcPr>
                <w:p w14:paraId="098BCC62" w14:textId="77777777" w:rsidR="009D4BA0" w:rsidRPr="00681C4E" w:rsidRDefault="009D4BA0" w:rsidP="009D4BA0">
                  <w:pPr>
                    <w:rPr>
                      <w:noProof/>
                      <w:lang w:val="en-GB"/>
                    </w:rPr>
                  </w:pPr>
                </w:p>
              </w:tc>
              <w:tc>
                <w:tcPr>
                  <w:tcW w:w="555" w:type="pct"/>
                  <w:vMerge/>
                  <w:vAlign w:val="center"/>
                </w:tcPr>
                <w:p w14:paraId="532C904F" w14:textId="77777777" w:rsidR="009D4BA0" w:rsidRDefault="009D4BA0" w:rsidP="009D4BA0">
                  <w:pPr>
                    <w:rPr>
                      <w:noProof/>
                      <w:lang w:val="en-GB"/>
                    </w:rPr>
                  </w:pPr>
                </w:p>
              </w:tc>
              <w:tc>
                <w:tcPr>
                  <w:tcW w:w="2032" w:type="pct"/>
                  <w:vAlign w:val="center"/>
                </w:tcPr>
                <w:p w14:paraId="6FA91631" w14:textId="2790698F" w:rsidR="009D4BA0" w:rsidRDefault="009D4BA0" w:rsidP="009D4BA0">
                  <w:pPr>
                    <w:jc w:val="both"/>
                    <w:rPr>
                      <w:noProof/>
                      <w:lang w:val="en-GB"/>
                    </w:rPr>
                  </w:pPr>
                  <w:r>
                    <w:rPr>
                      <w:noProof/>
                      <w:lang w:val="en-GB"/>
                    </w:rPr>
                    <w:t xml:space="preserve">Rengiant 2022 m. rizikų ir galimybių valdymo planą atsžvelgta į organizacijos kontekstą, 2021 m. nesuvaldytas arba suvaldytas tik iš dalies rizikas, nepasiektus strateginius ir kokybės rodiklius. </w:t>
                  </w:r>
                </w:p>
              </w:tc>
              <w:tc>
                <w:tcPr>
                  <w:tcW w:w="776" w:type="pct"/>
                  <w:vAlign w:val="center"/>
                </w:tcPr>
                <w:p w14:paraId="44C53A6E" w14:textId="44F77068" w:rsidR="009D4BA0" w:rsidRPr="00681C4E" w:rsidRDefault="002F3F3D" w:rsidP="009D4BA0">
                  <w:pPr>
                    <w:rPr>
                      <w:noProof/>
                      <w:lang w:val="en-GB"/>
                    </w:rPr>
                  </w:pPr>
                  <w:r>
                    <w:rPr>
                      <w:noProof/>
                      <w:lang w:val="en-GB"/>
                    </w:rPr>
                    <w:t>Veiklos praktika vertinama teigiamai.</w:t>
                  </w:r>
                </w:p>
              </w:tc>
              <w:tc>
                <w:tcPr>
                  <w:tcW w:w="556" w:type="pct"/>
                  <w:vAlign w:val="center"/>
                </w:tcPr>
                <w:p w14:paraId="5D5F65B3" w14:textId="61A7D820" w:rsidR="009D4BA0" w:rsidRPr="00681C4E" w:rsidRDefault="002F3F3D" w:rsidP="002F3F3D">
                  <w:pPr>
                    <w:jc w:val="center"/>
                    <w:rPr>
                      <w:noProof/>
                      <w:lang w:val="en-GB"/>
                    </w:rPr>
                  </w:pPr>
                  <w:r>
                    <w:rPr>
                      <w:noProof/>
                      <w:lang w:val="en-GB"/>
                    </w:rPr>
                    <w:t>x</w:t>
                  </w:r>
                </w:p>
              </w:tc>
              <w:tc>
                <w:tcPr>
                  <w:tcW w:w="515" w:type="pct"/>
                  <w:vAlign w:val="center"/>
                </w:tcPr>
                <w:p w14:paraId="2FCD78C4" w14:textId="6AEC3B86" w:rsidR="009D4BA0" w:rsidRPr="00681C4E" w:rsidRDefault="002F3F3D" w:rsidP="002F3F3D">
                  <w:pPr>
                    <w:jc w:val="center"/>
                    <w:rPr>
                      <w:noProof/>
                      <w:lang w:val="en-GB"/>
                    </w:rPr>
                  </w:pPr>
                  <w:r>
                    <w:rPr>
                      <w:noProof/>
                      <w:lang w:val="en-GB"/>
                    </w:rPr>
                    <w:t>x</w:t>
                  </w:r>
                </w:p>
              </w:tc>
            </w:tr>
            <w:tr w:rsidR="00715C12" w14:paraId="76B6A1D3" w14:textId="77777777" w:rsidTr="7BC4E2CD">
              <w:trPr>
                <w:trHeight w:val="526"/>
              </w:trPr>
              <w:tc>
                <w:tcPr>
                  <w:tcW w:w="565" w:type="pct"/>
                  <w:vMerge/>
                  <w:vAlign w:val="center"/>
                </w:tcPr>
                <w:p w14:paraId="3D217273" w14:textId="77777777" w:rsidR="00715C12" w:rsidRPr="00681C4E" w:rsidRDefault="00715C12" w:rsidP="00715C12">
                  <w:pPr>
                    <w:rPr>
                      <w:noProof/>
                      <w:lang w:val="en-GB"/>
                    </w:rPr>
                  </w:pPr>
                </w:p>
              </w:tc>
              <w:tc>
                <w:tcPr>
                  <w:tcW w:w="555" w:type="pct"/>
                  <w:vMerge/>
                  <w:vAlign w:val="center"/>
                </w:tcPr>
                <w:p w14:paraId="473088AF" w14:textId="77777777" w:rsidR="00715C12" w:rsidRDefault="00715C12" w:rsidP="00715C12">
                  <w:pPr>
                    <w:rPr>
                      <w:noProof/>
                      <w:lang w:val="en-GB"/>
                    </w:rPr>
                  </w:pPr>
                </w:p>
              </w:tc>
              <w:tc>
                <w:tcPr>
                  <w:tcW w:w="2032" w:type="pct"/>
                  <w:vAlign w:val="center"/>
                </w:tcPr>
                <w:p w14:paraId="2BF8726C" w14:textId="1BCE5DB2" w:rsidR="00715C12" w:rsidRDefault="00715C12" w:rsidP="00715C12">
                  <w:pPr>
                    <w:jc w:val="both"/>
                    <w:rPr>
                      <w:noProof/>
                      <w:lang w:val="en-GB"/>
                    </w:rPr>
                  </w:pPr>
                  <w:r w:rsidRPr="46E9229C">
                    <w:rPr>
                      <w:noProof/>
                      <w:lang w:val="en-GB"/>
                    </w:rPr>
                    <w:t xml:space="preserve">Pastebėtina, kad ISO standartas rekomenduoja atkreipti dėmesį ir į galimybių išnaudojimą, kas kol kas organizacijoje nėra akcentuojama. Dėl šios priežasties pravartu įsigilinti į galimybių panaudojimo praktikas kitoje reorganizuojamoje įstaigoje ir suvienodintą praktiką vystyti 2023 m. </w:t>
                  </w:r>
                </w:p>
              </w:tc>
              <w:tc>
                <w:tcPr>
                  <w:tcW w:w="776" w:type="pct"/>
                  <w:vAlign w:val="center"/>
                </w:tcPr>
                <w:p w14:paraId="754A72B2" w14:textId="1835F376" w:rsidR="00715C12" w:rsidRPr="00681C4E" w:rsidRDefault="00715C12" w:rsidP="00715C12">
                  <w:pPr>
                    <w:rPr>
                      <w:noProof/>
                      <w:lang w:val="en-GB"/>
                    </w:rPr>
                  </w:pPr>
                  <w:r>
                    <w:rPr>
                      <w:noProof/>
                      <w:lang w:val="en-GB"/>
                    </w:rPr>
                    <w:t>Reorganizacijos metu pasinaudoti gerosiomis praktikomis ir atnaujinti procesus pagal poreikį.</w:t>
                  </w:r>
                </w:p>
              </w:tc>
              <w:tc>
                <w:tcPr>
                  <w:tcW w:w="556" w:type="pct"/>
                  <w:vAlign w:val="center"/>
                </w:tcPr>
                <w:p w14:paraId="441F1239" w14:textId="68C9C36A" w:rsidR="00715C12" w:rsidRPr="00681C4E" w:rsidRDefault="00715C12" w:rsidP="00715C12">
                  <w:pPr>
                    <w:rPr>
                      <w:noProof/>
                      <w:lang w:val="en-GB"/>
                    </w:rPr>
                  </w:pPr>
                  <w:r w:rsidRPr="46E9229C">
                    <w:rPr>
                      <w:noProof/>
                      <w:lang w:val="en-GB"/>
                    </w:rPr>
                    <w:t>Metodininkas</w:t>
                  </w:r>
                </w:p>
              </w:tc>
              <w:tc>
                <w:tcPr>
                  <w:tcW w:w="515" w:type="pct"/>
                  <w:vAlign w:val="center"/>
                </w:tcPr>
                <w:p w14:paraId="770ADC69" w14:textId="69592431" w:rsidR="00715C12" w:rsidRPr="00681C4E" w:rsidRDefault="00715C12" w:rsidP="00715C12">
                  <w:pPr>
                    <w:rPr>
                      <w:noProof/>
                      <w:lang w:val="en-GB"/>
                    </w:rPr>
                  </w:pPr>
                  <w:r w:rsidRPr="46E9229C">
                    <w:rPr>
                      <w:noProof/>
                      <w:lang w:val="en-GB"/>
                    </w:rPr>
                    <w:t>2022-12-30</w:t>
                  </w:r>
                </w:p>
              </w:tc>
            </w:tr>
          </w:tbl>
          <w:p w14:paraId="6364BF9D" w14:textId="77777777" w:rsidR="00DF3D35" w:rsidRPr="001F7296" w:rsidRDefault="00DF3D35" w:rsidP="00914352">
            <w:pPr>
              <w:rPr>
                <w:b/>
                <w:noProof/>
                <w:szCs w:val="24"/>
                <w:lang w:val="en-GB"/>
              </w:rPr>
            </w:pPr>
          </w:p>
        </w:tc>
      </w:tr>
    </w:tbl>
    <w:p w14:paraId="442E2F00" w14:textId="77777777" w:rsidR="00967DDC" w:rsidRDefault="00967DDC" w:rsidP="00E70D01">
      <w:pPr>
        <w:tabs>
          <w:tab w:val="left" w:pos="3850"/>
        </w:tabs>
        <w:rPr>
          <w:sz w:val="24"/>
          <w:szCs w:val="24"/>
          <w:lang w:val="en-US"/>
        </w:rPr>
      </w:pPr>
    </w:p>
    <w:p w14:paraId="07089497" w14:textId="77777777" w:rsidR="00967DDC" w:rsidRDefault="46E9229C" w:rsidP="46E9229C">
      <w:pPr>
        <w:tabs>
          <w:tab w:val="left" w:pos="3850"/>
        </w:tabs>
        <w:rPr>
          <w:sz w:val="24"/>
          <w:szCs w:val="24"/>
          <w:lang w:val="en-US"/>
        </w:rPr>
      </w:pPr>
      <w:proofErr w:type="spellStart"/>
      <w:r w:rsidRPr="46E9229C">
        <w:rPr>
          <w:sz w:val="24"/>
          <w:szCs w:val="24"/>
          <w:lang w:val="en-US"/>
        </w:rPr>
        <w:t>Parengė</w:t>
      </w:r>
      <w:proofErr w:type="spellEnd"/>
      <w:r w:rsidR="00967DDC">
        <w:rPr>
          <w:sz w:val="24"/>
          <w:szCs w:val="24"/>
          <w:lang w:val="en-US"/>
        </w:rPr>
        <w:t xml:space="preserve"> </w:t>
      </w:r>
      <w:proofErr w:type="spellStart"/>
      <w:r w:rsidR="00967DDC">
        <w:rPr>
          <w:sz w:val="24"/>
          <w:szCs w:val="24"/>
          <w:lang w:val="en-US"/>
        </w:rPr>
        <w:t>m</w:t>
      </w:r>
      <w:r w:rsidRPr="46E9229C">
        <w:rPr>
          <w:sz w:val="24"/>
          <w:szCs w:val="24"/>
          <w:lang w:val="en-US"/>
        </w:rPr>
        <w:t>etodininkė</w:t>
      </w:r>
      <w:proofErr w:type="spellEnd"/>
      <w:r w:rsidRPr="46E9229C">
        <w:rPr>
          <w:sz w:val="24"/>
          <w:szCs w:val="24"/>
          <w:lang w:val="en-US"/>
        </w:rPr>
        <w:t xml:space="preserve"> Toma Grabauskaitė, </w:t>
      </w:r>
    </w:p>
    <w:p w14:paraId="4A62EBC1" w14:textId="65479AC0" w:rsidR="46E9229C" w:rsidRDefault="006E1277" w:rsidP="46E9229C">
      <w:pPr>
        <w:tabs>
          <w:tab w:val="left" w:pos="3850"/>
        </w:tabs>
        <w:rPr>
          <w:sz w:val="24"/>
          <w:szCs w:val="24"/>
          <w:lang w:val="en-US"/>
        </w:rPr>
      </w:pPr>
      <w:hyperlink r:id="rId19">
        <w:r w:rsidR="46E9229C" w:rsidRPr="46E9229C">
          <w:rPr>
            <w:rStyle w:val="Hyperlink"/>
            <w:sz w:val="24"/>
            <w:szCs w:val="24"/>
            <w:lang w:val="en-US"/>
          </w:rPr>
          <w:t>toma.grabauskaite@vtmc.lt</w:t>
        </w:r>
      </w:hyperlink>
      <w:r w:rsidR="46E9229C" w:rsidRPr="46E9229C">
        <w:rPr>
          <w:sz w:val="24"/>
          <w:szCs w:val="24"/>
          <w:lang w:val="en-US"/>
        </w:rPr>
        <w:t xml:space="preserve"> </w:t>
      </w:r>
    </w:p>
    <w:sectPr w:rsidR="46E9229C" w:rsidSect="00436AC9">
      <w:headerReference w:type="default" r:id="rId20"/>
      <w:footerReference w:type="even" r:id="rId21"/>
      <w:footerReference w:type="default" r:id="rId22"/>
      <w:pgSz w:w="16840" w:h="11900" w:orient="landscape"/>
      <w:pgMar w:top="1701" w:right="567" w:bottom="1134" w:left="170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71620" w14:textId="77777777" w:rsidR="006E1277" w:rsidRDefault="006E1277" w:rsidP="00E65AE7">
      <w:r>
        <w:separator/>
      </w:r>
    </w:p>
  </w:endnote>
  <w:endnote w:type="continuationSeparator" w:id="0">
    <w:p w14:paraId="3A550E79" w14:textId="77777777" w:rsidR="006E1277" w:rsidRDefault="006E1277" w:rsidP="00E6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B6F01" w14:textId="77777777" w:rsidR="004C1A8C" w:rsidRDefault="004C1A8C" w:rsidP="003F17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4DDAB8" w14:textId="77777777" w:rsidR="004C1A8C" w:rsidRDefault="004C1A8C" w:rsidP="00096C4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E342F" w14:textId="527EBB5B" w:rsidR="004C1A8C" w:rsidRDefault="004C1A8C" w:rsidP="003F17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5AE4">
      <w:rPr>
        <w:rStyle w:val="PageNumber"/>
        <w:noProof/>
      </w:rPr>
      <w:t>2</w:t>
    </w:r>
    <w:r>
      <w:rPr>
        <w:rStyle w:val="PageNumber"/>
      </w:rPr>
      <w:fldChar w:fldCharType="end"/>
    </w:r>
  </w:p>
  <w:p w14:paraId="113E6F24" w14:textId="6E334D02" w:rsidR="000B5FE0" w:rsidRDefault="000B5FE0" w:rsidP="000B5FE0">
    <w:pPr>
      <w:pStyle w:val="Header"/>
      <w:tabs>
        <w:tab w:val="clear" w:pos="4320"/>
        <w:tab w:val="clear" w:pos="8640"/>
        <w:tab w:val="left" w:pos="3982"/>
        <w:tab w:val="left" w:pos="4163"/>
      </w:tabs>
      <w:rPr>
        <w:rFonts w:ascii="Tahoma" w:hAnsi="Tahoma" w:cs="Tahoma"/>
        <w:sz w:val="16"/>
        <w:szCs w:val="16"/>
      </w:rPr>
    </w:pPr>
  </w:p>
  <w:p w14:paraId="6DE2FB3E" w14:textId="6E4B4EF9" w:rsidR="00E247F2" w:rsidRPr="00AD7120" w:rsidRDefault="00E247F2" w:rsidP="00D52136">
    <w:pPr>
      <w:pStyle w:val="Footer"/>
      <w:ind w:right="360"/>
      <w:jc w:val="right"/>
      <w:rPr>
        <w:rFonts w:asciiTheme="majorHAnsi" w:hAnsiTheme="majorHAnsi" w:cstheme="majorHAnsi"/>
        <w:noProof/>
        <w:sz w:val="15"/>
        <w:szCs w:val="15"/>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92410" w14:textId="77777777" w:rsidR="006E1277" w:rsidRDefault="006E1277" w:rsidP="00E65AE7">
      <w:r>
        <w:separator/>
      </w:r>
    </w:p>
  </w:footnote>
  <w:footnote w:type="continuationSeparator" w:id="0">
    <w:p w14:paraId="6F41522A" w14:textId="77777777" w:rsidR="006E1277" w:rsidRDefault="006E1277" w:rsidP="00E65A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2685"/>
      <w:gridCol w:w="1395"/>
      <w:gridCol w:w="4095"/>
    </w:tblGrid>
    <w:tr w:rsidR="00F0536B" w:rsidRPr="00BD00F6" w14:paraId="0D63996D" w14:textId="77777777" w:rsidTr="00B15112">
      <w:trPr>
        <w:trHeight w:val="975"/>
        <w:jc w:val="center"/>
      </w:trPr>
      <w:tc>
        <w:tcPr>
          <w:tcW w:w="1545" w:type="dxa"/>
          <w:vMerge w:val="restart"/>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BA0A25E" w14:textId="01D7A886" w:rsidR="00BD00F6" w:rsidRPr="00BD00F6" w:rsidRDefault="00F0536B" w:rsidP="00BD00F6">
          <w:pPr>
            <w:jc w:val="center"/>
            <w:textAlignment w:val="baseline"/>
            <w:rPr>
              <w:rFonts w:ascii="Segoe UI" w:hAnsi="Segoe UI" w:cs="Segoe UI"/>
              <w:sz w:val="18"/>
              <w:szCs w:val="18"/>
              <w:lang w:val="en-US" w:eastAsia="en-US"/>
            </w:rPr>
          </w:pPr>
          <w:r>
            <w:rPr>
              <w:rFonts w:ascii="Segoe UI" w:hAnsi="Segoe UI" w:cs="Segoe UI"/>
              <w:noProof/>
              <w:sz w:val="18"/>
              <w:szCs w:val="18"/>
              <w:lang w:val="en-US" w:eastAsia="en-US"/>
            </w:rPr>
            <w:drawing>
              <wp:inline distT="0" distB="0" distL="0" distR="0" wp14:anchorId="4968D194" wp14:editId="03DE25B0">
                <wp:extent cx="763313" cy="50744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lias_LT_vertikalus.png"/>
                        <pic:cNvPicPr/>
                      </pic:nvPicPr>
                      <pic:blipFill>
                        <a:blip r:embed="rId1">
                          <a:extLst>
                            <a:ext uri="{28A0092B-C50C-407E-A947-70E740481C1C}">
                              <a14:useLocalDpi xmlns:a14="http://schemas.microsoft.com/office/drawing/2010/main" val="0"/>
                            </a:ext>
                          </a:extLst>
                        </a:blip>
                        <a:stretch>
                          <a:fillRect/>
                        </a:stretch>
                      </pic:blipFill>
                      <pic:spPr>
                        <a:xfrm>
                          <a:off x="0" y="0"/>
                          <a:ext cx="774663" cy="514987"/>
                        </a:xfrm>
                        <a:prstGeom prst="rect">
                          <a:avLst/>
                        </a:prstGeom>
                      </pic:spPr>
                    </pic:pic>
                  </a:graphicData>
                </a:graphic>
              </wp:inline>
            </w:drawing>
          </w:r>
        </w:p>
      </w:tc>
      <w:tc>
        <w:tcPr>
          <w:tcW w:w="268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C81AE91" w14:textId="77777777" w:rsidR="00BD00F6" w:rsidRPr="00BD00F6" w:rsidRDefault="00BD00F6" w:rsidP="00BD00F6">
          <w:pPr>
            <w:jc w:val="center"/>
            <w:textAlignment w:val="baseline"/>
            <w:rPr>
              <w:rFonts w:ascii="Segoe UI" w:hAnsi="Segoe UI" w:cs="Segoe UI"/>
              <w:sz w:val="18"/>
              <w:szCs w:val="18"/>
              <w:lang w:val="en-US" w:eastAsia="en-US"/>
            </w:rPr>
          </w:pPr>
          <w:r w:rsidRPr="00BD00F6">
            <w:rPr>
              <w:lang w:eastAsia="en-US"/>
            </w:rPr>
            <w:t>Kokybės vadybos sistemos procesas Nr. TV-1 </w:t>
          </w:r>
          <w:r w:rsidRPr="00BD00F6">
            <w:rPr>
              <w:lang w:val="en-US" w:eastAsia="en-US"/>
            </w:rPr>
            <w:t> </w:t>
          </w:r>
        </w:p>
        <w:p w14:paraId="0612AFEB" w14:textId="77777777" w:rsidR="00BD00F6" w:rsidRPr="00BD00F6" w:rsidRDefault="00BD00F6" w:rsidP="00BD00F6">
          <w:pPr>
            <w:jc w:val="center"/>
            <w:textAlignment w:val="baseline"/>
            <w:rPr>
              <w:rFonts w:ascii="Segoe UI" w:hAnsi="Segoe UI" w:cs="Segoe UI"/>
              <w:sz w:val="18"/>
              <w:szCs w:val="18"/>
              <w:lang w:val="en-US" w:eastAsia="en-US"/>
            </w:rPr>
          </w:pPr>
          <w:r w:rsidRPr="00BD00F6">
            <w:rPr>
              <w:lang w:eastAsia="en-US"/>
            </w:rPr>
            <w:t>„Pokyčių valdymas“</w:t>
          </w:r>
          <w:r w:rsidRPr="00BD00F6">
            <w:rPr>
              <w:lang w:val="en-US" w:eastAsia="en-US"/>
            </w:rPr>
            <w:t> </w:t>
          </w:r>
        </w:p>
      </w:tc>
      <w:tc>
        <w:tcPr>
          <w:tcW w:w="139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5F3898A" w14:textId="58625296" w:rsidR="00BD00F6" w:rsidRPr="00BD00F6" w:rsidRDefault="00C95AE4" w:rsidP="00BD00F6">
          <w:pPr>
            <w:jc w:val="center"/>
            <w:textAlignment w:val="baseline"/>
            <w:rPr>
              <w:rFonts w:ascii="Segoe UI" w:hAnsi="Segoe UI" w:cs="Segoe UI"/>
              <w:sz w:val="18"/>
              <w:szCs w:val="18"/>
              <w:lang w:val="en-US" w:eastAsia="en-US"/>
            </w:rPr>
          </w:pPr>
          <w:r>
            <w:rPr>
              <w:lang w:eastAsia="en-US"/>
            </w:rPr>
            <w:t>6</w:t>
          </w:r>
          <w:r w:rsidR="00BD00F6" w:rsidRPr="00BD00F6">
            <w:rPr>
              <w:lang w:eastAsia="en-US"/>
            </w:rPr>
            <w:t xml:space="preserve">  priedas</w:t>
          </w:r>
          <w:r w:rsidR="00BD00F6" w:rsidRPr="00BD00F6">
            <w:rPr>
              <w:lang w:val="en-US" w:eastAsia="en-US"/>
            </w:rPr>
            <w:t> </w:t>
          </w:r>
        </w:p>
      </w:tc>
      <w:tc>
        <w:tcPr>
          <w:tcW w:w="4065"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AF02B54" w14:textId="77777777" w:rsidR="00BD00F6" w:rsidRPr="00BD00F6" w:rsidRDefault="00BD00F6" w:rsidP="00BD00F6">
          <w:pPr>
            <w:jc w:val="center"/>
            <w:textAlignment w:val="baseline"/>
            <w:rPr>
              <w:rFonts w:ascii="Segoe UI" w:hAnsi="Segoe UI" w:cs="Segoe UI"/>
              <w:sz w:val="18"/>
              <w:szCs w:val="18"/>
              <w:lang w:val="en-US" w:eastAsia="en-US"/>
            </w:rPr>
          </w:pPr>
          <w:r w:rsidRPr="00BD00F6">
            <w:rPr>
              <w:lang w:eastAsia="en-US"/>
            </w:rPr>
            <w:t>PATVIRTINTA</w:t>
          </w:r>
          <w:r w:rsidRPr="00BD00F6">
            <w:rPr>
              <w:lang w:val="en-US" w:eastAsia="en-US"/>
            </w:rPr>
            <w:t> </w:t>
          </w:r>
        </w:p>
        <w:p w14:paraId="2ABB1833" w14:textId="77777777" w:rsidR="00BD00F6" w:rsidRPr="00BD00F6" w:rsidRDefault="00BD00F6" w:rsidP="00BD00F6">
          <w:pPr>
            <w:jc w:val="center"/>
            <w:textAlignment w:val="baseline"/>
            <w:rPr>
              <w:rFonts w:ascii="Segoe UI" w:hAnsi="Segoe UI" w:cs="Segoe UI"/>
              <w:sz w:val="18"/>
              <w:szCs w:val="18"/>
              <w:lang w:val="en-US" w:eastAsia="en-US"/>
            </w:rPr>
          </w:pPr>
          <w:r w:rsidRPr="00BD00F6">
            <w:rPr>
              <w:lang w:eastAsia="en-US"/>
            </w:rPr>
            <w:t>Vilniaus technologijų mokymo centro</w:t>
          </w:r>
          <w:r w:rsidRPr="00BD00F6">
            <w:rPr>
              <w:lang w:val="en-US" w:eastAsia="en-US"/>
            </w:rPr>
            <w:t> </w:t>
          </w:r>
        </w:p>
        <w:p w14:paraId="669C1878" w14:textId="0B5A1DAD" w:rsidR="00BD00F6" w:rsidRPr="00BD00F6" w:rsidRDefault="00E546BC" w:rsidP="00E546BC">
          <w:pPr>
            <w:jc w:val="center"/>
            <w:textAlignment w:val="baseline"/>
            <w:rPr>
              <w:rFonts w:ascii="Segoe UI" w:hAnsi="Segoe UI" w:cs="Segoe UI"/>
              <w:sz w:val="18"/>
              <w:szCs w:val="18"/>
              <w:lang w:val="en-US" w:eastAsia="en-US"/>
            </w:rPr>
          </w:pPr>
          <w:r>
            <w:rPr>
              <w:lang w:eastAsia="en-US"/>
            </w:rPr>
            <w:t>2022</w:t>
          </w:r>
          <w:r w:rsidR="00BD00F6" w:rsidRPr="00BD00F6">
            <w:rPr>
              <w:lang w:eastAsia="en-US"/>
            </w:rPr>
            <w:t xml:space="preserve"> m.</w:t>
          </w:r>
          <w:r w:rsidR="00335497">
            <w:rPr>
              <w:lang w:eastAsia="en-US"/>
            </w:rPr>
            <w:t xml:space="preserve"> rugpjūčio</w:t>
          </w:r>
          <w:r w:rsidRPr="00BD00F6">
            <w:rPr>
              <w:lang w:eastAsia="en-US"/>
            </w:rPr>
            <w:t xml:space="preserve"> </w:t>
          </w:r>
          <w:r>
            <w:rPr>
              <w:lang w:eastAsia="en-US"/>
            </w:rPr>
            <w:t>... d. įsakymu Nr. V1-...</w:t>
          </w:r>
          <w:r w:rsidR="00BD00F6" w:rsidRPr="00BD00F6">
            <w:rPr>
              <w:lang w:val="en-US" w:eastAsia="en-US"/>
            </w:rPr>
            <w:t> </w:t>
          </w:r>
        </w:p>
      </w:tc>
    </w:tr>
    <w:tr w:rsidR="00BD00F6" w:rsidRPr="00BD00F6" w14:paraId="35CCD736" w14:textId="77777777" w:rsidTr="00B15112">
      <w:trPr>
        <w:trHeight w:val="300"/>
        <w:jc w:val="center"/>
      </w:trPr>
      <w:tc>
        <w:tcPr>
          <w:tcW w:w="0" w:type="auto"/>
          <w:vMerge/>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101984E" w14:textId="77777777" w:rsidR="00BD00F6" w:rsidRPr="00BD00F6" w:rsidRDefault="00BD00F6" w:rsidP="00BD00F6">
          <w:pPr>
            <w:rPr>
              <w:rFonts w:ascii="Segoe UI" w:hAnsi="Segoe UI" w:cs="Segoe UI"/>
              <w:sz w:val="18"/>
              <w:szCs w:val="18"/>
              <w:lang w:val="en-US" w:eastAsia="en-US"/>
            </w:rPr>
          </w:pPr>
        </w:p>
      </w:tc>
      <w:tc>
        <w:tcPr>
          <w:tcW w:w="8175" w:type="dxa"/>
          <w:gridSpan w:val="3"/>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53CBA88" w14:textId="6D6C94CA" w:rsidR="00BD00F6" w:rsidRPr="00BD00F6" w:rsidRDefault="00E546BC" w:rsidP="00B15112">
          <w:pPr>
            <w:jc w:val="center"/>
            <w:textAlignment w:val="baseline"/>
            <w:rPr>
              <w:rFonts w:ascii="Segoe UI" w:hAnsi="Segoe UI" w:cs="Segoe UI"/>
              <w:sz w:val="18"/>
              <w:szCs w:val="18"/>
              <w:lang w:val="en-US" w:eastAsia="en-US"/>
            </w:rPr>
          </w:pPr>
          <w:r>
            <w:rPr>
              <w:lang w:eastAsia="en-US"/>
            </w:rPr>
            <w:t>Ver</w:t>
          </w:r>
          <w:r w:rsidR="00B15112">
            <w:rPr>
              <w:lang w:eastAsia="en-US"/>
            </w:rPr>
            <w:t xml:space="preserve">tinamoji vadovybinė analizė </w:t>
          </w:r>
        </w:p>
      </w:tc>
    </w:tr>
  </w:tbl>
  <w:p w14:paraId="21D90890" w14:textId="3276AAB0" w:rsidR="000B5FE0" w:rsidRPr="00C57A2B" w:rsidRDefault="000B5FE0" w:rsidP="00914352">
    <w:pPr>
      <w:pStyle w:val="Header"/>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C77"/>
    <w:multiLevelType w:val="hybridMultilevel"/>
    <w:tmpl w:val="98EC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1656D"/>
    <w:multiLevelType w:val="hybridMultilevel"/>
    <w:tmpl w:val="7D80201C"/>
    <w:lvl w:ilvl="0" w:tplc="5C104A62">
      <w:start w:val="1"/>
      <w:numFmt w:val="decimal"/>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8547C"/>
    <w:multiLevelType w:val="singleLevel"/>
    <w:tmpl w:val="2E26E502"/>
    <w:lvl w:ilvl="0">
      <w:start w:val="1"/>
      <w:numFmt w:val="bullet"/>
      <w:pStyle w:val="ListBullet1"/>
      <w:lvlText w:val=""/>
      <w:lvlJc w:val="left"/>
      <w:pPr>
        <w:tabs>
          <w:tab w:val="num" w:pos="717"/>
        </w:tabs>
        <w:ind w:left="717" w:hanging="360"/>
      </w:pPr>
      <w:rPr>
        <w:rFonts w:ascii="Wingdings" w:hAnsi="Wingdings" w:hint="default"/>
      </w:rPr>
    </w:lvl>
  </w:abstractNum>
  <w:abstractNum w:abstractNumId="3" w15:restartNumberingAfterBreak="0">
    <w:nsid w:val="10083EFE"/>
    <w:multiLevelType w:val="hybridMultilevel"/>
    <w:tmpl w:val="887ECE0C"/>
    <w:lvl w:ilvl="0" w:tplc="2FA2ABA8">
      <w:start w:val="1"/>
      <w:numFmt w:val="bullet"/>
      <w:lvlText w:val=""/>
      <w:lvlJc w:val="left"/>
      <w:pPr>
        <w:tabs>
          <w:tab w:val="num" w:pos="113"/>
        </w:tabs>
        <w:ind w:left="284" w:hanging="171"/>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73281"/>
    <w:multiLevelType w:val="hybridMultilevel"/>
    <w:tmpl w:val="5A90E11A"/>
    <w:lvl w:ilvl="0" w:tplc="08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37A915"/>
    <w:multiLevelType w:val="multilevel"/>
    <w:tmpl w:val="B13CDFF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DEA47E0"/>
    <w:multiLevelType w:val="hybridMultilevel"/>
    <w:tmpl w:val="0256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67167"/>
    <w:multiLevelType w:val="hybridMultilevel"/>
    <w:tmpl w:val="2D744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2563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25636F"/>
    <w:multiLevelType w:val="hybridMultilevel"/>
    <w:tmpl w:val="AECC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C503F"/>
    <w:multiLevelType w:val="hybridMultilevel"/>
    <w:tmpl w:val="A20662B0"/>
    <w:lvl w:ilvl="0" w:tplc="04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415C00"/>
    <w:multiLevelType w:val="hybridMultilevel"/>
    <w:tmpl w:val="C6EAA12E"/>
    <w:lvl w:ilvl="0" w:tplc="08090017">
      <w:start w:val="1"/>
      <w:numFmt w:val="lowerLetter"/>
      <w:lvlText w:val="%1)"/>
      <w:lvlJc w:val="left"/>
      <w:pPr>
        <w:ind w:left="927" w:hanging="360"/>
      </w:pPr>
    </w:lvl>
    <w:lvl w:ilvl="1" w:tplc="0409000D">
      <w:start w:val="1"/>
      <w:numFmt w:val="bullet"/>
      <w:lvlText w:val=""/>
      <w:lvlJc w:val="left"/>
      <w:pPr>
        <w:ind w:left="1647" w:hanging="360"/>
      </w:pPr>
      <w:rPr>
        <w:rFonts w:ascii="Wingdings" w:hAnsi="Wingdings" w:hint="default"/>
      </w:r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3D732D99"/>
    <w:multiLevelType w:val="hybridMultilevel"/>
    <w:tmpl w:val="F89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716CE"/>
    <w:multiLevelType w:val="hybridMultilevel"/>
    <w:tmpl w:val="87A67CBA"/>
    <w:lvl w:ilvl="0" w:tplc="0409000F">
      <w:start w:val="1"/>
      <w:numFmt w:val="decimal"/>
      <w:lvlText w:val="%1."/>
      <w:lvlJc w:val="left"/>
      <w:pPr>
        <w:ind w:left="860" w:hanging="360"/>
      </w:pPr>
    </w:lvl>
    <w:lvl w:ilvl="1" w:tplc="04270019" w:tentative="1">
      <w:start w:val="1"/>
      <w:numFmt w:val="lowerLetter"/>
      <w:lvlText w:val="%2."/>
      <w:lvlJc w:val="left"/>
      <w:pPr>
        <w:ind w:left="1580" w:hanging="360"/>
      </w:pPr>
    </w:lvl>
    <w:lvl w:ilvl="2" w:tplc="0427001B" w:tentative="1">
      <w:start w:val="1"/>
      <w:numFmt w:val="lowerRoman"/>
      <w:lvlText w:val="%3."/>
      <w:lvlJc w:val="right"/>
      <w:pPr>
        <w:ind w:left="2300" w:hanging="180"/>
      </w:pPr>
    </w:lvl>
    <w:lvl w:ilvl="3" w:tplc="0427000F" w:tentative="1">
      <w:start w:val="1"/>
      <w:numFmt w:val="decimal"/>
      <w:lvlText w:val="%4."/>
      <w:lvlJc w:val="left"/>
      <w:pPr>
        <w:ind w:left="3020" w:hanging="360"/>
      </w:pPr>
    </w:lvl>
    <w:lvl w:ilvl="4" w:tplc="04270019" w:tentative="1">
      <w:start w:val="1"/>
      <w:numFmt w:val="lowerLetter"/>
      <w:lvlText w:val="%5."/>
      <w:lvlJc w:val="left"/>
      <w:pPr>
        <w:ind w:left="3740" w:hanging="360"/>
      </w:pPr>
    </w:lvl>
    <w:lvl w:ilvl="5" w:tplc="0427001B" w:tentative="1">
      <w:start w:val="1"/>
      <w:numFmt w:val="lowerRoman"/>
      <w:lvlText w:val="%6."/>
      <w:lvlJc w:val="right"/>
      <w:pPr>
        <w:ind w:left="4460" w:hanging="180"/>
      </w:pPr>
    </w:lvl>
    <w:lvl w:ilvl="6" w:tplc="0427000F" w:tentative="1">
      <w:start w:val="1"/>
      <w:numFmt w:val="decimal"/>
      <w:lvlText w:val="%7."/>
      <w:lvlJc w:val="left"/>
      <w:pPr>
        <w:ind w:left="5180" w:hanging="360"/>
      </w:pPr>
    </w:lvl>
    <w:lvl w:ilvl="7" w:tplc="04270019" w:tentative="1">
      <w:start w:val="1"/>
      <w:numFmt w:val="lowerLetter"/>
      <w:lvlText w:val="%8."/>
      <w:lvlJc w:val="left"/>
      <w:pPr>
        <w:ind w:left="5900" w:hanging="360"/>
      </w:pPr>
    </w:lvl>
    <w:lvl w:ilvl="8" w:tplc="0427001B" w:tentative="1">
      <w:start w:val="1"/>
      <w:numFmt w:val="lowerRoman"/>
      <w:lvlText w:val="%9."/>
      <w:lvlJc w:val="right"/>
      <w:pPr>
        <w:ind w:left="6620" w:hanging="180"/>
      </w:pPr>
    </w:lvl>
  </w:abstractNum>
  <w:abstractNum w:abstractNumId="14" w15:restartNumberingAfterBreak="0">
    <w:nsid w:val="40245433"/>
    <w:multiLevelType w:val="singleLevel"/>
    <w:tmpl w:val="DAB4E5F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0D1F38"/>
    <w:multiLevelType w:val="hybridMultilevel"/>
    <w:tmpl w:val="B99A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745B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91F47E8"/>
    <w:multiLevelType w:val="hybridMultilevel"/>
    <w:tmpl w:val="A340814A"/>
    <w:lvl w:ilvl="0" w:tplc="04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20A6DFD"/>
    <w:multiLevelType w:val="hybridMultilevel"/>
    <w:tmpl w:val="C60402FC"/>
    <w:lvl w:ilvl="0" w:tplc="04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595517C"/>
    <w:multiLevelType w:val="singleLevel"/>
    <w:tmpl w:val="DAB4E5F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460897"/>
    <w:multiLevelType w:val="hybridMultilevel"/>
    <w:tmpl w:val="9194886C"/>
    <w:lvl w:ilvl="0" w:tplc="576079DA">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1" w15:restartNumberingAfterBreak="0">
    <w:nsid w:val="70DD2625"/>
    <w:multiLevelType w:val="hybridMultilevel"/>
    <w:tmpl w:val="39388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5E1E2D"/>
    <w:multiLevelType w:val="multilevel"/>
    <w:tmpl w:val="DED4F0E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75EE6A1A"/>
    <w:multiLevelType w:val="hybridMultilevel"/>
    <w:tmpl w:val="7FC299DA"/>
    <w:lvl w:ilvl="0" w:tplc="0409000D">
      <w:start w:val="1"/>
      <w:numFmt w:val="bullet"/>
      <w:lvlText w:val=""/>
      <w:lvlJc w:val="left"/>
      <w:pPr>
        <w:ind w:left="1080" w:hanging="360"/>
      </w:pPr>
      <w:rPr>
        <w:rFonts w:ascii="Wingdings" w:hAnsi="Wingding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7AE158D9"/>
    <w:multiLevelType w:val="hybridMultilevel"/>
    <w:tmpl w:val="A88CA6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DD358AC"/>
    <w:multiLevelType w:val="hybridMultilevel"/>
    <w:tmpl w:val="FC026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3"/>
  </w:num>
  <w:num w:numId="4">
    <w:abstractNumId w:val="16"/>
  </w:num>
  <w:num w:numId="5">
    <w:abstractNumId w:val="8"/>
  </w:num>
  <w:num w:numId="6">
    <w:abstractNumId w:val="2"/>
  </w:num>
  <w:num w:numId="7">
    <w:abstractNumId w:val="13"/>
  </w:num>
  <w:num w:numId="8">
    <w:abstractNumId w:val="19"/>
  </w:num>
  <w:num w:numId="9">
    <w:abstractNumId w:val="14"/>
  </w:num>
  <w:num w:numId="10">
    <w:abstractNumId w:val="11"/>
  </w:num>
  <w:num w:numId="11">
    <w:abstractNumId w:val="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3"/>
  </w:num>
  <w:num w:numId="15">
    <w:abstractNumId w:val="17"/>
  </w:num>
  <w:num w:numId="16">
    <w:abstractNumId w:val="20"/>
  </w:num>
  <w:num w:numId="17">
    <w:abstractNumId w:val="10"/>
  </w:num>
  <w:num w:numId="18">
    <w:abstractNumId w:val="15"/>
  </w:num>
  <w:num w:numId="19">
    <w:abstractNumId w:val="21"/>
  </w:num>
  <w:num w:numId="20">
    <w:abstractNumId w:val="25"/>
  </w:num>
  <w:num w:numId="21">
    <w:abstractNumId w:val="7"/>
  </w:num>
  <w:num w:numId="22">
    <w:abstractNumId w:val="6"/>
  </w:num>
  <w:num w:numId="23">
    <w:abstractNumId w:val="12"/>
  </w:num>
  <w:num w:numId="24">
    <w:abstractNumId w:val="0"/>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9B"/>
    <w:rsid w:val="000017B9"/>
    <w:rsid w:val="00003A07"/>
    <w:rsid w:val="000325EC"/>
    <w:rsid w:val="00035F4B"/>
    <w:rsid w:val="00036472"/>
    <w:rsid w:val="0007122C"/>
    <w:rsid w:val="00071EA3"/>
    <w:rsid w:val="00081839"/>
    <w:rsid w:val="00090B5D"/>
    <w:rsid w:val="00096C42"/>
    <w:rsid w:val="000B1BA8"/>
    <w:rsid w:val="000B5FE0"/>
    <w:rsid w:val="000C337E"/>
    <w:rsid w:val="000D2E27"/>
    <w:rsid w:val="000E3FDE"/>
    <w:rsid w:val="000E42B3"/>
    <w:rsid w:val="000E42C9"/>
    <w:rsid w:val="000E67A8"/>
    <w:rsid w:val="000F7DC4"/>
    <w:rsid w:val="00100253"/>
    <w:rsid w:val="0011713D"/>
    <w:rsid w:val="00120E6E"/>
    <w:rsid w:val="001404A5"/>
    <w:rsid w:val="00141907"/>
    <w:rsid w:val="0014791F"/>
    <w:rsid w:val="00152273"/>
    <w:rsid w:val="001565A5"/>
    <w:rsid w:val="0018254D"/>
    <w:rsid w:val="00183E71"/>
    <w:rsid w:val="00186A4E"/>
    <w:rsid w:val="00194950"/>
    <w:rsid w:val="001A1B27"/>
    <w:rsid w:val="001A1E04"/>
    <w:rsid w:val="001B545E"/>
    <w:rsid w:val="001C223F"/>
    <w:rsid w:val="001C4792"/>
    <w:rsid w:val="001E15E3"/>
    <w:rsid w:val="001E7590"/>
    <w:rsid w:val="001F7296"/>
    <w:rsid w:val="0021651E"/>
    <w:rsid w:val="0023100D"/>
    <w:rsid w:val="00233FFB"/>
    <w:rsid w:val="00235E3A"/>
    <w:rsid w:val="00241B8A"/>
    <w:rsid w:val="00245792"/>
    <w:rsid w:val="002511D1"/>
    <w:rsid w:val="00254738"/>
    <w:rsid w:val="00262EB9"/>
    <w:rsid w:val="002726EE"/>
    <w:rsid w:val="002733BB"/>
    <w:rsid w:val="00284DE5"/>
    <w:rsid w:val="0029093D"/>
    <w:rsid w:val="002946D8"/>
    <w:rsid w:val="002A3EBC"/>
    <w:rsid w:val="002B119E"/>
    <w:rsid w:val="002B5A52"/>
    <w:rsid w:val="002B5BF5"/>
    <w:rsid w:val="002C567C"/>
    <w:rsid w:val="002C74B2"/>
    <w:rsid w:val="002E32D7"/>
    <w:rsid w:val="002E7458"/>
    <w:rsid w:val="002F3F3D"/>
    <w:rsid w:val="003218F9"/>
    <w:rsid w:val="00324124"/>
    <w:rsid w:val="00335497"/>
    <w:rsid w:val="00337FA9"/>
    <w:rsid w:val="00356091"/>
    <w:rsid w:val="00360F47"/>
    <w:rsid w:val="00376C11"/>
    <w:rsid w:val="00387718"/>
    <w:rsid w:val="00391CD8"/>
    <w:rsid w:val="003960DC"/>
    <w:rsid w:val="003A3126"/>
    <w:rsid w:val="003A3DD5"/>
    <w:rsid w:val="003D03B1"/>
    <w:rsid w:val="003E4A65"/>
    <w:rsid w:val="003E5C97"/>
    <w:rsid w:val="003F17BB"/>
    <w:rsid w:val="003F62CA"/>
    <w:rsid w:val="00403C10"/>
    <w:rsid w:val="00420AD5"/>
    <w:rsid w:val="0043217C"/>
    <w:rsid w:val="00432E61"/>
    <w:rsid w:val="00436AC9"/>
    <w:rsid w:val="004455BE"/>
    <w:rsid w:val="004512D1"/>
    <w:rsid w:val="00460B96"/>
    <w:rsid w:val="00462174"/>
    <w:rsid w:val="00470B52"/>
    <w:rsid w:val="00476CA0"/>
    <w:rsid w:val="0048630C"/>
    <w:rsid w:val="0048757E"/>
    <w:rsid w:val="004946E3"/>
    <w:rsid w:val="004C1A8C"/>
    <w:rsid w:val="004C305F"/>
    <w:rsid w:val="004F3807"/>
    <w:rsid w:val="00520595"/>
    <w:rsid w:val="005361D5"/>
    <w:rsid w:val="00536E02"/>
    <w:rsid w:val="00536FC6"/>
    <w:rsid w:val="005402CC"/>
    <w:rsid w:val="00550137"/>
    <w:rsid w:val="00553442"/>
    <w:rsid w:val="00554004"/>
    <w:rsid w:val="0055521E"/>
    <w:rsid w:val="00556CA9"/>
    <w:rsid w:val="00562282"/>
    <w:rsid w:val="00565766"/>
    <w:rsid w:val="00572DBF"/>
    <w:rsid w:val="00575778"/>
    <w:rsid w:val="00597456"/>
    <w:rsid w:val="005A1F4C"/>
    <w:rsid w:val="005A4C38"/>
    <w:rsid w:val="005B4A6B"/>
    <w:rsid w:val="005B51F8"/>
    <w:rsid w:val="005D0366"/>
    <w:rsid w:val="005D2A9B"/>
    <w:rsid w:val="005E0DAD"/>
    <w:rsid w:val="005E5C02"/>
    <w:rsid w:val="005E7E3A"/>
    <w:rsid w:val="00612FE0"/>
    <w:rsid w:val="00624125"/>
    <w:rsid w:val="00636F13"/>
    <w:rsid w:val="00646AA0"/>
    <w:rsid w:val="00661248"/>
    <w:rsid w:val="00674E6A"/>
    <w:rsid w:val="006812EB"/>
    <w:rsid w:val="00681C4E"/>
    <w:rsid w:val="006871AB"/>
    <w:rsid w:val="006873E9"/>
    <w:rsid w:val="006908C9"/>
    <w:rsid w:val="0069518B"/>
    <w:rsid w:val="006B3B97"/>
    <w:rsid w:val="006C2600"/>
    <w:rsid w:val="006E1277"/>
    <w:rsid w:val="007043C9"/>
    <w:rsid w:val="0070531C"/>
    <w:rsid w:val="00715C12"/>
    <w:rsid w:val="007217E9"/>
    <w:rsid w:val="00726399"/>
    <w:rsid w:val="00732EE0"/>
    <w:rsid w:val="007361B6"/>
    <w:rsid w:val="00743E98"/>
    <w:rsid w:val="00744740"/>
    <w:rsid w:val="00756D34"/>
    <w:rsid w:val="007571DC"/>
    <w:rsid w:val="00760357"/>
    <w:rsid w:val="0076072E"/>
    <w:rsid w:val="0076437C"/>
    <w:rsid w:val="0078142D"/>
    <w:rsid w:val="007830C5"/>
    <w:rsid w:val="00787473"/>
    <w:rsid w:val="00790C41"/>
    <w:rsid w:val="00794EC4"/>
    <w:rsid w:val="0079618C"/>
    <w:rsid w:val="007A0B29"/>
    <w:rsid w:val="007A3C18"/>
    <w:rsid w:val="007B78BD"/>
    <w:rsid w:val="007C09E8"/>
    <w:rsid w:val="007C4B44"/>
    <w:rsid w:val="00814690"/>
    <w:rsid w:val="008255CC"/>
    <w:rsid w:val="008346D7"/>
    <w:rsid w:val="00840080"/>
    <w:rsid w:val="00844FCA"/>
    <w:rsid w:val="00867B47"/>
    <w:rsid w:val="008C1089"/>
    <w:rsid w:val="008C262F"/>
    <w:rsid w:val="008C34B8"/>
    <w:rsid w:val="008D2A55"/>
    <w:rsid w:val="008E4A30"/>
    <w:rsid w:val="008E517A"/>
    <w:rsid w:val="009137E1"/>
    <w:rsid w:val="00914352"/>
    <w:rsid w:val="00926077"/>
    <w:rsid w:val="0092689E"/>
    <w:rsid w:val="00935DF2"/>
    <w:rsid w:val="00943606"/>
    <w:rsid w:val="009462E3"/>
    <w:rsid w:val="00947BFB"/>
    <w:rsid w:val="00951446"/>
    <w:rsid w:val="00962FE4"/>
    <w:rsid w:val="00966642"/>
    <w:rsid w:val="00966FB5"/>
    <w:rsid w:val="00967DDC"/>
    <w:rsid w:val="00971AE2"/>
    <w:rsid w:val="00972650"/>
    <w:rsid w:val="00973926"/>
    <w:rsid w:val="009A1313"/>
    <w:rsid w:val="009A438D"/>
    <w:rsid w:val="009B41B7"/>
    <w:rsid w:val="009C2074"/>
    <w:rsid w:val="009D4BA0"/>
    <w:rsid w:val="009D4E3C"/>
    <w:rsid w:val="009D59DD"/>
    <w:rsid w:val="009E4CF0"/>
    <w:rsid w:val="009E65D7"/>
    <w:rsid w:val="009F5D86"/>
    <w:rsid w:val="00A20F53"/>
    <w:rsid w:val="00A21818"/>
    <w:rsid w:val="00A273AC"/>
    <w:rsid w:val="00A40F55"/>
    <w:rsid w:val="00A62953"/>
    <w:rsid w:val="00A629A8"/>
    <w:rsid w:val="00A66A4F"/>
    <w:rsid w:val="00A7537F"/>
    <w:rsid w:val="00A90627"/>
    <w:rsid w:val="00A914D8"/>
    <w:rsid w:val="00A91792"/>
    <w:rsid w:val="00A934C2"/>
    <w:rsid w:val="00AB1CDB"/>
    <w:rsid w:val="00AB5D4D"/>
    <w:rsid w:val="00AD2E9B"/>
    <w:rsid w:val="00AD7120"/>
    <w:rsid w:val="00AD7DF3"/>
    <w:rsid w:val="00AE12BD"/>
    <w:rsid w:val="00AE6BDF"/>
    <w:rsid w:val="00AE722B"/>
    <w:rsid w:val="00AF5497"/>
    <w:rsid w:val="00B15112"/>
    <w:rsid w:val="00B1748F"/>
    <w:rsid w:val="00B264F0"/>
    <w:rsid w:val="00B44DDD"/>
    <w:rsid w:val="00B63A68"/>
    <w:rsid w:val="00B77A4A"/>
    <w:rsid w:val="00BC2B72"/>
    <w:rsid w:val="00BC35F2"/>
    <w:rsid w:val="00BC3601"/>
    <w:rsid w:val="00BC46AB"/>
    <w:rsid w:val="00BD00F6"/>
    <w:rsid w:val="00BE55FC"/>
    <w:rsid w:val="00BE61D4"/>
    <w:rsid w:val="00BF1618"/>
    <w:rsid w:val="00C14050"/>
    <w:rsid w:val="00C1712F"/>
    <w:rsid w:val="00C31762"/>
    <w:rsid w:val="00C33589"/>
    <w:rsid w:val="00C42A7B"/>
    <w:rsid w:val="00C57A2B"/>
    <w:rsid w:val="00C77302"/>
    <w:rsid w:val="00C95AE4"/>
    <w:rsid w:val="00CA0C10"/>
    <w:rsid w:val="00CA5CBC"/>
    <w:rsid w:val="00CD0966"/>
    <w:rsid w:val="00CD2439"/>
    <w:rsid w:val="00CD6BBF"/>
    <w:rsid w:val="00CE4F1A"/>
    <w:rsid w:val="00D113AB"/>
    <w:rsid w:val="00D23824"/>
    <w:rsid w:val="00D372E4"/>
    <w:rsid w:val="00D52136"/>
    <w:rsid w:val="00D55F95"/>
    <w:rsid w:val="00D61635"/>
    <w:rsid w:val="00D703D6"/>
    <w:rsid w:val="00D72015"/>
    <w:rsid w:val="00D75EB0"/>
    <w:rsid w:val="00DB5261"/>
    <w:rsid w:val="00DC5D89"/>
    <w:rsid w:val="00DC6883"/>
    <w:rsid w:val="00DD7E83"/>
    <w:rsid w:val="00DF3D35"/>
    <w:rsid w:val="00DF63D2"/>
    <w:rsid w:val="00E20443"/>
    <w:rsid w:val="00E247F2"/>
    <w:rsid w:val="00E32293"/>
    <w:rsid w:val="00E33705"/>
    <w:rsid w:val="00E546BC"/>
    <w:rsid w:val="00E60142"/>
    <w:rsid w:val="00E65AE7"/>
    <w:rsid w:val="00E70D01"/>
    <w:rsid w:val="00E8424C"/>
    <w:rsid w:val="00E96D23"/>
    <w:rsid w:val="00EA11E1"/>
    <w:rsid w:val="00EA47E6"/>
    <w:rsid w:val="00EA6CAA"/>
    <w:rsid w:val="00EB2393"/>
    <w:rsid w:val="00EB55E6"/>
    <w:rsid w:val="00EB6A46"/>
    <w:rsid w:val="00ED03AA"/>
    <w:rsid w:val="00ED22DF"/>
    <w:rsid w:val="00EE13C0"/>
    <w:rsid w:val="00EE4D89"/>
    <w:rsid w:val="00EE664C"/>
    <w:rsid w:val="00F0536B"/>
    <w:rsid w:val="00F3007A"/>
    <w:rsid w:val="00F337F9"/>
    <w:rsid w:val="00F62635"/>
    <w:rsid w:val="00F72F4D"/>
    <w:rsid w:val="00F82F66"/>
    <w:rsid w:val="00F85860"/>
    <w:rsid w:val="00F87FC8"/>
    <w:rsid w:val="00F94762"/>
    <w:rsid w:val="00F966EE"/>
    <w:rsid w:val="00FA53FD"/>
    <w:rsid w:val="00FA7065"/>
    <w:rsid w:val="00FB2AC6"/>
    <w:rsid w:val="00FC0709"/>
    <w:rsid w:val="00FC0AA7"/>
    <w:rsid w:val="00FC6214"/>
    <w:rsid w:val="00FE1C87"/>
    <w:rsid w:val="00FF445F"/>
    <w:rsid w:val="0237F130"/>
    <w:rsid w:val="06E96A95"/>
    <w:rsid w:val="07232592"/>
    <w:rsid w:val="075FF6B5"/>
    <w:rsid w:val="07E1E84D"/>
    <w:rsid w:val="08FD7DC3"/>
    <w:rsid w:val="0D30695C"/>
    <w:rsid w:val="0D70A586"/>
    <w:rsid w:val="0FBCA2B1"/>
    <w:rsid w:val="101FC7E8"/>
    <w:rsid w:val="118E002A"/>
    <w:rsid w:val="11E1F435"/>
    <w:rsid w:val="162BCB18"/>
    <w:rsid w:val="169B5388"/>
    <w:rsid w:val="17F35152"/>
    <w:rsid w:val="1842A7DC"/>
    <w:rsid w:val="18D2A6AD"/>
    <w:rsid w:val="1A1E06C4"/>
    <w:rsid w:val="23847499"/>
    <w:rsid w:val="25C6D0D5"/>
    <w:rsid w:val="288B10CD"/>
    <w:rsid w:val="2A6B727B"/>
    <w:rsid w:val="2D6B08D8"/>
    <w:rsid w:val="2F2782A4"/>
    <w:rsid w:val="3B45FED1"/>
    <w:rsid w:val="3E8A844C"/>
    <w:rsid w:val="44FDD92A"/>
    <w:rsid w:val="4507102B"/>
    <w:rsid w:val="45242904"/>
    <w:rsid w:val="454D523B"/>
    <w:rsid w:val="46E9229C"/>
    <w:rsid w:val="49BF234A"/>
    <w:rsid w:val="4BA8FA03"/>
    <w:rsid w:val="4D4E8969"/>
    <w:rsid w:val="4E552F34"/>
    <w:rsid w:val="4EB1E2ED"/>
    <w:rsid w:val="55212471"/>
    <w:rsid w:val="56847DF5"/>
    <w:rsid w:val="56BCF4D2"/>
    <w:rsid w:val="588D6D77"/>
    <w:rsid w:val="5A97E83D"/>
    <w:rsid w:val="5D519661"/>
    <w:rsid w:val="5DCF88FF"/>
    <w:rsid w:val="5E6A69D2"/>
    <w:rsid w:val="5ECAD3D6"/>
    <w:rsid w:val="5EEF50B8"/>
    <w:rsid w:val="64AE894D"/>
    <w:rsid w:val="6C812455"/>
    <w:rsid w:val="750E4225"/>
    <w:rsid w:val="7BC4E2CD"/>
    <w:rsid w:val="7BEAE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C5A7CA"/>
  <w14:defaultImageDpi w14:val="300"/>
  <w15:docId w15:val="{61A84512-6371-8C47-B3BB-7E8D7407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E9B"/>
    <w:rPr>
      <w:rFonts w:ascii="Times New Roman" w:eastAsia="Times New Roman" w:hAnsi="Times New Roman" w:cs="Times New Roman"/>
      <w:sz w:val="20"/>
      <w:szCs w:val="20"/>
      <w:lang w:val="lt-LT" w:eastAsia="pl-PL"/>
    </w:rPr>
  </w:style>
  <w:style w:type="paragraph" w:styleId="Heading1">
    <w:name w:val="heading 1"/>
    <w:basedOn w:val="Normal"/>
    <w:next w:val="Normal"/>
    <w:link w:val="Heading1Char"/>
    <w:qFormat/>
    <w:rsid w:val="00AD2E9B"/>
    <w:pPr>
      <w:keepNext/>
      <w:numPr>
        <w:numId w:val="4"/>
      </w:numPr>
      <w:outlineLvl w:val="0"/>
    </w:pPr>
    <w:rPr>
      <w:rFonts w:ascii="Bookman Old Style" w:hAnsi="Bookman Old Style"/>
      <w:b/>
      <w:sz w:val="28"/>
    </w:rPr>
  </w:style>
  <w:style w:type="paragraph" w:styleId="Heading2">
    <w:name w:val="heading 2"/>
    <w:aliases w:val="1.1."/>
    <w:basedOn w:val="Normal"/>
    <w:next w:val="Normal"/>
    <w:link w:val="Heading2Char"/>
    <w:qFormat/>
    <w:rsid w:val="00AD2E9B"/>
    <w:pPr>
      <w:keepNext/>
      <w:numPr>
        <w:ilvl w:val="1"/>
        <w:numId w:val="4"/>
      </w:numPr>
      <w:jc w:val="center"/>
      <w:outlineLvl w:val="1"/>
    </w:pPr>
    <w:rPr>
      <w:rFonts w:ascii="Bookman Old Style" w:hAnsi="Bookman Old Style"/>
      <w:sz w:val="28"/>
    </w:rPr>
  </w:style>
  <w:style w:type="paragraph" w:styleId="Heading3">
    <w:name w:val="heading 3"/>
    <w:basedOn w:val="Normal"/>
    <w:next w:val="Normal"/>
    <w:link w:val="Heading3Char"/>
    <w:qFormat/>
    <w:rsid w:val="00AD2E9B"/>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D2E9B"/>
    <w:pPr>
      <w:keepNext/>
      <w:numPr>
        <w:ilvl w:val="3"/>
        <w:numId w:val="4"/>
      </w:numPr>
      <w:jc w:val="center"/>
      <w:outlineLvl w:val="3"/>
    </w:pPr>
    <w:rPr>
      <w:rFonts w:ascii="Bookman Old Style" w:hAnsi="Bookman Old Style"/>
      <w:b/>
      <w:bCs/>
      <w:sz w:val="24"/>
    </w:rPr>
  </w:style>
  <w:style w:type="paragraph" w:styleId="Heading5">
    <w:name w:val="heading 5"/>
    <w:basedOn w:val="Normal"/>
    <w:next w:val="Normal"/>
    <w:link w:val="Heading5Char"/>
    <w:qFormat/>
    <w:rsid w:val="00AD2E9B"/>
    <w:pPr>
      <w:keepNext/>
      <w:numPr>
        <w:ilvl w:val="4"/>
        <w:numId w:val="4"/>
      </w:numPr>
      <w:outlineLvl w:val="4"/>
    </w:pPr>
    <w:rPr>
      <w:b/>
      <w:sz w:val="22"/>
      <w:szCs w:val="22"/>
    </w:rPr>
  </w:style>
  <w:style w:type="paragraph" w:styleId="Heading6">
    <w:name w:val="heading 6"/>
    <w:basedOn w:val="Normal"/>
    <w:next w:val="Normal"/>
    <w:link w:val="Heading6Char"/>
    <w:qFormat/>
    <w:rsid w:val="00AD2E9B"/>
    <w:pPr>
      <w:keepNext/>
      <w:numPr>
        <w:ilvl w:val="5"/>
        <w:numId w:val="4"/>
      </w:numPr>
      <w:spacing w:before="80" w:after="80"/>
      <w:ind w:right="284"/>
      <w:jc w:val="both"/>
      <w:outlineLvl w:val="5"/>
    </w:pPr>
    <w:rPr>
      <w:b/>
      <w:sz w:val="24"/>
    </w:rPr>
  </w:style>
  <w:style w:type="paragraph" w:styleId="Heading7">
    <w:name w:val="heading 7"/>
    <w:basedOn w:val="Normal"/>
    <w:next w:val="Normal"/>
    <w:link w:val="Heading7Char"/>
    <w:qFormat/>
    <w:rsid w:val="00AD2E9B"/>
    <w:pPr>
      <w:keepNext/>
      <w:numPr>
        <w:ilvl w:val="6"/>
        <w:numId w:val="4"/>
      </w:numPr>
      <w:outlineLvl w:val="6"/>
    </w:pPr>
    <w:rPr>
      <w:color w:val="FF0000"/>
      <w:sz w:val="26"/>
      <w:szCs w:val="26"/>
    </w:rPr>
  </w:style>
  <w:style w:type="paragraph" w:styleId="Heading8">
    <w:name w:val="heading 8"/>
    <w:basedOn w:val="Normal"/>
    <w:next w:val="Normal"/>
    <w:link w:val="Heading8Char"/>
    <w:qFormat/>
    <w:rsid w:val="00AD2E9B"/>
    <w:pPr>
      <w:keepNext/>
      <w:numPr>
        <w:ilvl w:val="7"/>
        <w:numId w:val="4"/>
      </w:numPr>
      <w:jc w:val="both"/>
      <w:outlineLvl w:val="7"/>
    </w:pPr>
    <w:rPr>
      <w:rFonts w:ascii="Bookman Old Style" w:hAnsi="Bookman Old Style"/>
      <w:sz w:val="24"/>
      <w:u w:val="single"/>
      <w:lang w:eastAsia="ar-SA"/>
    </w:rPr>
  </w:style>
  <w:style w:type="paragraph" w:styleId="Heading9">
    <w:name w:val="heading 9"/>
    <w:basedOn w:val="Normal"/>
    <w:next w:val="Normal"/>
    <w:link w:val="Heading9Char"/>
    <w:qFormat/>
    <w:rsid w:val="00AD2E9B"/>
    <w:pPr>
      <w:keepNext/>
      <w:numPr>
        <w:ilvl w:val="8"/>
        <w:numId w:val="4"/>
      </w:numPr>
      <w:jc w:val="both"/>
      <w:outlineLvl w:val="8"/>
    </w:pPr>
    <w:rPr>
      <w:rFonts w:ascii="Bookman Old Style" w:hAnsi="Bookman Old Style"/>
      <w:sz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2E9B"/>
    <w:rPr>
      <w:rFonts w:ascii="Bookman Old Style" w:eastAsia="Times New Roman" w:hAnsi="Bookman Old Style" w:cs="Times New Roman"/>
      <w:b/>
      <w:sz w:val="28"/>
      <w:szCs w:val="20"/>
      <w:lang w:val="lt-LT" w:eastAsia="pl-PL"/>
    </w:rPr>
  </w:style>
  <w:style w:type="character" w:customStyle="1" w:styleId="Heading2Char">
    <w:name w:val="Heading 2 Char"/>
    <w:aliases w:val="1.1. Char"/>
    <w:basedOn w:val="DefaultParagraphFont"/>
    <w:link w:val="Heading2"/>
    <w:rsid w:val="00AD2E9B"/>
    <w:rPr>
      <w:rFonts w:ascii="Bookman Old Style" w:eastAsia="Times New Roman" w:hAnsi="Bookman Old Style" w:cs="Times New Roman"/>
      <w:sz w:val="28"/>
      <w:szCs w:val="20"/>
      <w:lang w:val="lt-LT" w:eastAsia="pl-PL"/>
    </w:rPr>
  </w:style>
  <w:style w:type="character" w:customStyle="1" w:styleId="Heading3Char">
    <w:name w:val="Heading 3 Char"/>
    <w:basedOn w:val="DefaultParagraphFont"/>
    <w:link w:val="Heading3"/>
    <w:rsid w:val="00AD2E9B"/>
    <w:rPr>
      <w:rFonts w:ascii="Arial" w:eastAsia="Times New Roman" w:hAnsi="Arial" w:cs="Arial"/>
      <w:b/>
      <w:bCs/>
      <w:sz w:val="26"/>
      <w:szCs w:val="26"/>
      <w:lang w:val="lt-LT" w:eastAsia="pl-PL"/>
    </w:rPr>
  </w:style>
  <w:style w:type="character" w:customStyle="1" w:styleId="Heading4Char">
    <w:name w:val="Heading 4 Char"/>
    <w:basedOn w:val="DefaultParagraphFont"/>
    <w:link w:val="Heading4"/>
    <w:rsid w:val="00AD2E9B"/>
    <w:rPr>
      <w:rFonts w:ascii="Bookman Old Style" w:eastAsia="Times New Roman" w:hAnsi="Bookman Old Style" w:cs="Times New Roman"/>
      <w:b/>
      <w:bCs/>
      <w:szCs w:val="20"/>
      <w:lang w:val="lt-LT" w:eastAsia="pl-PL"/>
    </w:rPr>
  </w:style>
  <w:style w:type="character" w:customStyle="1" w:styleId="Heading5Char">
    <w:name w:val="Heading 5 Char"/>
    <w:basedOn w:val="DefaultParagraphFont"/>
    <w:link w:val="Heading5"/>
    <w:rsid w:val="00AD2E9B"/>
    <w:rPr>
      <w:rFonts w:ascii="Times New Roman" w:eastAsia="Times New Roman" w:hAnsi="Times New Roman" w:cs="Times New Roman"/>
      <w:b/>
      <w:sz w:val="22"/>
      <w:szCs w:val="22"/>
      <w:lang w:val="lt-LT" w:eastAsia="pl-PL"/>
    </w:rPr>
  </w:style>
  <w:style w:type="character" w:customStyle="1" w:styleId="Heading6Char">
    <w:name w:val="Heading 6 Char"/>
    <w:basedOn w:val="DefaultParagraphFont"/>
    <w:link w:val="Heading6"/>
    <w:rsid w:val="00AD2E9B"/>
    <w:rPr>
      <w:rFonts w:ascii="Times New Roman" w:eastAsia="Times New Roman" w:hAnsi="Times New Roman" w:cs="Times New Roman"/>
      <w:b/>
      <w:szCs w:val="20"/>
      <w:lang w:val="lt-LT" w:eastAsia="pl-PL"/>
    </w:rPr>
  </w:style>
  <w:style w:type="character" w:customStyle="1" w:styleId="Heading7Char">
    <w:name w:val="Heading 7 Char"/>
    <w:basedOn w:val="DefaultParagraphFont"/>
    <w:link w:val="Heading7"/>
    <w:rsid w:val="00AD2E9B"/>
    <w:rPr>
      <w:rFonts w:ascii="Times New Roman" w:eastAsia="Times New Roman" w:hAnsi="Times New Roman" w:cs="Times New Roman"/>
      <w:color w:val="FF0000"/>
      <w:sz w:val="26"/>
      <w:szCs w:val="26"/>
      <w:lang w:val="lt-LT" w:eastAsia="pl-PL"/>
    </w:rPr>
  </w:style>
  <w:style w:type="character" w:customStyle="1" w:styleId="Heading8Char">
    <w:name w:val="Heading 8 Char"/>
    <w:basedOn w:val="DefaultParagraphFont"/>
    <w:link w:val="Heading8"/>
    <w:rsid w:val="00AD2E9B"/>
    <w:rPr>
      <w:rFonts w:ascii="Bookman Old Style" w:eastAsia="Times New Roman" w:hAnsi="Bookman Old Style" w:cs="Times New Roman"/>
      <w:szCs w:val="20"/>
      <w:u w:val="single"/>
      <w:lang w:val="lt-LT" w:eastAsia="ar-SA"/>
    </w:rPr>
  </w:style>
  <w:style w:type="character" w:customStyle="1" w:styleId="Heading9Char">
    <w:name w:val="Heading 9 Char"/>
    <w:basedOn w:val="DefaultParagraphFont"/>
    <w:link w:val="Heading9"/>
    <w:rsid w:val="00AD2E9B"/>
    <w:rPr>
      <w:rFonts w:ascii="Bookman Old Style" w:eastAsia="Times New Roman" w:hAnsi="Bookman Old Style" w:cs="Times New Roman"/>
      <w:szCs w:val="20"/>
      <w:u w:val="single"/>
      <w:lang w:val="lt-LT" w:eastAsia="ar-SA"/>
    </w:rPr>
  </w:style>
  <w:style w:type="paragraph" w:styleId="BalloonText">
    <w:name w:val="Balloon Text"/>
    <w:basedOn w:val="Normal"/>
    <w:link w:val="BalloonTextChar"/>
    <w:uiPriority w:val="99"/>
    <w:semiHidden/>
    <w:unhideWhenUsed/>
    <w:rsid w:val="00AD2E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2E9B"/>
    <w:rPr>
      <w:rFonts w:ascii="Lucida Grande" w:eastAsia="Times New Roman" w:hAnsi="Lucida Grande" w:cs="Lucida Grande"/>
      <w:sz w:val="18"/>
      <w:szCs w:val="18"/>
      <w:lang w:val="lt-LT" w:eastAsia="pl-PL"/>
    </w:rPr>
  </w:style>
  <w:style w:type="paragraph" w:styleId="Header">
    <w:name w:val="header"/>
    <w:basedOn w:val="Normal"/>
    <w:link w:val="HeaderChar"/>
    <w:unhideWhenUsed/>
    <w:rsid w:val="00E65AE7"/>
    <w:pPr>
      <w:tabs>
        <w:tab w:val="center" w:pos="4320"/>
        <w:tab w:val="right" w:pos="8640"/>
      </w:tabs>
    </w:pPr>
  </w:style>
  <w:style w:type="character" w:customStyle="1" w:styleId="HeaderChar">
    <w:name w:val="Header Char"/>
    <w:basedOn w:val="DefaultParagraphFont"/>
    <w:link w:val="Header"/>
    <w:rsid w:val="00E65AE7"/>
    <w:rPr>
      <w:rFonts w:ascii="Times New Roman" w:eastAsia="Times New Roman" w:hAnsi="Times New Roman" w:cs="Times New Roman"/>
      <w:sz w:val="20"/>
      <w:szCs w:val="20"/>
      <w:lang w:val="lt-LT" w:eastAsia="pl-PL"/>
    </w:rPr>
  </w:style>
  <w:style w:type="paragraph" w:styleId="Footer">
    <w:name w:val="footer"/>
    <w:basedOn w:val="Normal"/>
    <w:link w:val="FooterChar"/>
    <w:unhideWhenUsed/>
    <w:rsid w:val="00E65AE7"/>
    <w:pPr>
      <w:tabs>
        <w:tab w:val="center" w:pos="4320"/>
        <w:tab w:val="right" w:pos="8640"/>
      </w:tabs>
    </w:pPr>
  </w:style>
  <w:style w:type="character" w:customStyle="1" w:styleId="FooterChar">
    <w:name w:val="Footer Char"/>
    <w:basedOn w:val="DefaultParagraphFont"/>
    <w:link w:val="Footer"/>
    <w:rsid w:val="00E65AE7"/>
    <w:rPr>
      <w:rFonts w:ascii="Times New Roman" w:eastAsia="Times New Roman" w:hAnsi="Times New Roman" w:cs="Times New Roman"/>
      <w:sz w:val="20"/>
      <w:szCs w:val="20"/>
      <w:lang w:val="lt-LT" w:eastAsia="pl-PL"/>
    </w:rPr>
  </w:style>
  <w:style w:type="character" w:styleId="PageNumber">
    <w:name w:val="page number"/>
    <w:basedOn w:val="DefaultParagraphFont"/>
    <w:rsid w:val="00E65AE7"/>
  </w:style>
  <w:style w:type="table" w:styleId="TableGrid">
    <w:name w:val="Table Grid"/>
    <w:basedOn w:val="TableNormal"/>
    <w:uiPriority w:val="59"/>
    <w:rsid w:val="00096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96C42"/>
    <w:pPr>
      <w:spacing w:after="80"/>
    </w:pPr>
    <w:rPr>
      <w:sz w:val="22"/>
      <w:szCs w:val="22"/>
    </w:rPr>
  </w:style>
  <w:style w:type="character" w:customStyle="1" w:styleId="NoSpacingChar">
    <w:name w:val="No Spacing Char"/>
    <w:basedOn w:val="DefaultParagraphFont"/>
    <w:link w:val="NoSpacing"/>
    <w:uiPriority w:val="1"/>
    <w:rsid w:val="00096C42"/>
    <w:rPr>
      <w:sz w:val="22"/>
      <w:szCs w:val="22"/>
    </w:rPr>
  </w:style>
  <w:style w:type="character" w:styleId="CommentReference">
    <w:name w:val="annotation reference"/>
    <w:basedOn w:val="DefaultParagraphFont"/>
    <w:uiPriority w:val="99"/>
    <w:semiHidden/>
    <w:unhideWhenUsed/>
    <w:rsid w:val="00096C42"/>
    <w:rPr>
      <w:sz w:val="18"/>
      <w:szCs w:val="18"/>
    </w:rPr>
  </w:style>
  <w:style w:type="paragraph" w:styleId="CommentText">
    <w:name w:val="annotation text"/>
    <w:basedOn w:val="Normal"/>
    <w:link w:val="CommentTextChar"/>
    <w:uiPriority w:val="99"/>
    <w:semiHidden/>
    <w:unhideWhenUsed/>
    <w:rsid w:val="00096C42"/>
    <w:rPr>
      <w:sz w:val="24"/>
      <w:szCs w:val="24"/>
      <w:lang w:val="en-US" w:eastAsia="en-US"/>
    </w:rPr>
  </w:style>
  <w:style w:type="character" w:customStyle="1" w:styleId="CommentTextChar">
    <w:name w:val="Comment Text Char"/>
    <w:basedOn w:val="DefaultParagraphFont"/>
    <w:link w:val="CommentText"/>
    <w:uiPriority w:val="99"/>
    <w:semiHidden/>
    <w:rsid w:val="00096C42"/>
    <w:rPr>
      <w:rFonts w:ascii="Times New Roman" w:eastAsia="Times New Roman" w:hAnsi="Times New Roman" w:cs="Times New Roman"/>
    </w:rPr>
  </w:style>
  <w:style w:type="paragraph" w:customStyle="1" w:styleId="ListBullet1">
    <w:name w:val="List Bullet 1"/>
    <w:basedOn w:val="Normal"/>
    <w:rsid w:val="009F5D86"/>
    <w:pPr>
      <w:numPr>
        <w:numId w:val="6"/>
      </w:numPr>
      <w:spacing w:after="120"/>
      <w:jc w:val="both"/>
    </w:pPr>
    <w:rPr>
      <w:rFonts w:ascii="Bookman Old Style" w:hAnsi="Bookman Old Style"/>
      <w:sz w:val="24"/>
      <w:lang w:val="pl-PL"/>
    </w:rPr>
  </w:style>
  <w:style w:type="paragraph" w:styleId="BodyTextIndent3">
    <w:name w:val="Body Text Indent 3"/>
    <w:basedOn w:val="Normal"/>
    <w:link w:val="BodyTextIndent3Char"/>
    <w:rsid w:val="00CD6BBF"/>
    <w:pPr>
      <w:spacing w:after="120"/>
      <w:ind w:left="360"/>
    </w:pPr>
    <w:rPr>
      <w:sz w:val="16"/>
      <w:szCs w:val="16"/>
      <w:lang w:eastAsia="en-US"/>
    </w:rPr>
  </w:style>
  <w:style w:type="character" w:customStyle="1" w:styleId="BodyTextIndent3Char">
    <w:name w:val="Body Text Indent 3 Char"/>
    <w:basedOn w:val="DefaultParagraphFont"/>
    <w:link w:val="BodyTextIndent3"/>
    <w:rsid w:val="00CD6BBF"/>
    <w:rPr>
      <w:rFonts w:ascii="Times New Roman" w:eastAsia="Times New Roman" w:hAnsi="Times New Roman" w:cs="Times New Roman"/>
      <w:sz w:val="16"/>
      <w:szCs w:val="16"/>
      <w:lang w:val="lt-LT"/>
    </w:rPr>
  </w:style>
  <w:style w:type="paragraph" w:styleId="BodyTextIndent2">
    <w:name w:val="Body Text Indent 2"/>
    <w:basedOn w:val="Normal"/>
    <w:link w:val="BodyTextIndent2Char"/>
    <w:rsid w:val="00CD6BBF"/>
    <w:pPr>
      <w:spacing w:after="120" w:line="480" w:lineRule="auto"/>
      <w:ind w:left="360"/>
    </w:pPr>
    <w:rPr>
      <w:lang w:eastAsia="en-US"/>
    </w:rPr>
  </w:style>
  <w:style w:type="character" w:customStyle="1" w:styleId="BodyTextIndent2Char">
    <w:name w:val="Body Text Indent 2 Char"/>
    <w:basedOn w:val="DefaultParagraphFont"/>
    <w:link w:val="BodyTextIndent2"/>
    <w:rsid w:val="00CD6BBF"/>
    <w:rPr>
      <w:rFonts w:ascii="Times New Roman" w:eastAsia="Times New Roman" w:hAnsi="Times New Roman" w:cs="Times New Roman"/>
      <w:sz w:val="20"/>
      <w:szCs w:val="20"/>
      <w:lang w:val="lt-LT"/>
    </w:rPr>
  </w:style>
  <w:style w:type="paragraph" w:styleId="ListParagraph">
    <w:name w:val="List Paragraph"/>
    <w:basedOn w:val="Normal"/>
    <w:uiPriority w:val="34"/>
    <w:qFormat/>
    <w:rsid w:val="00CD6BBF"/>
    <w:pPr>
      <w:ind w:left="720"/>
      <w:contextualSpacing/>
    </w:pPr>
    <w:rPr>
      <w:lang w:eastAsia="en-US"/>
    </w:rPr>
  </w:style>
  <w:style w:type="character" w:styleId="Hyperlink">
    <w:name w:val="Hyperlink"/>
    <w:basedOn w:val="DefaultParagraphFont"/>
    <w:uiPriority w:val="99"/>
    <w:unhideWhenUsed/>
    <w:rsid w:val="000B5FE0"/>
    <w:rPr>
      <w:color w:val="0000FF" w:themeColor="hyperlink"/>
      <w:u w:val="single"/>
    </w:rPr>
  </w:style>
  <w:style w:type="paragraph" w:customStyle="1" w:styleId="paragraph">
    <w:name w:val="paragraph"/>
    <w:basedOn w:val="Normal"/>
    <w:rsid w:val="00BD00F6"/>
    <w:pPr>
      <w:spacing w:before="100" w:beforeAutospacing="1" w:after="100" w:afterAutospacing="1"/>
    </w:pPr>
    <w:rPr>
      <w:sz w:val="24"/>
      <w:szCs w:val="24"/>
      <w:lang w:val="en-US" w:eastAsia="en-US"/>
    </w:rPr>
  </w:style>
  <w:style w:type="character" w:customStyle="1" w:styleId="normaltextrun">
    <w:name w:val="normaltextrun"/>
    <w:basedOn w:val="DefaultParagraphFont"/>
    <w:rsid w:val="00BD00F6"/>
  </w:style>
  <w:style w:type="character" w:customStyle="1" w:styleId="eop">
    <w:name w:val="eop"/>
    <w:basedOn w:val="DefaultParagraphFont"/>
    <w:rsid w:val="00BD00F6"/>
  </w:style>
  <w:style w:type="character" w:styleId="FollowedHyperlink">
    <w:name w:val="FollowedHyperlink"/>
    <w:basedOn w:val="DefaultParagraphFont"/>
    <w:uiPriority w:val="99"/>
    <w:semiHidden/>
    <w:unhideWhenUsed/>
    <w:rsid w:val="008C1089"/>
    <w:rPr>
      <w:color w:val="800080" w:themeColor="followedHyperlink"/>
      <w:u w:val="single"/>
    </w:rPr>
  </w:style>
  <w:style w:type="character" w:customStyle="1" w:styleId="spellingerror">
    <w:name w:val="spellingerror"/>
    <w:basedOn w:val="DefaultParagraphFont"/>
    <w:rsid w:val="00E3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9407">
      <w:bodyDiv w:val="1"/>
      <w:marLeft w:val="0"/>
      <w:marRight w:val="0"/>
      <w:marTop w:val="0"/>
      <w:marBottom w:val="0"/>
      <w:divBdr>
        <w:top w:val="none" w:sz="0" w:space="0" w:color="auto"/>
        <w:left w:val="none" w:sz="0" w:space="0" w:color="auto"/>
        <w:bottom w:val="none" w:sz="0" w:space="0" w:color="auto"/>
        <w:right w:val="none" w:sz="0" w:space="0" w:color="auto"/>
      </w:divBdr>
    </w:div>
    <w:div w:id="1283414977">
      <w:bodyDiv w:val="1"/>
      <w:marLeft w:val="0"/>
      <w:marRight w:val="0"/>
      <w:marTop w:val="0"/>
      <w:marBottom w:val="0"/>
      <w:divBdr>
        <w:top w:val="none" w:sz="0" w:space="0" w:color="auto"/>
        <w:left w:val="none" w:sz="0" w:space="0" w:color="auto"/>
        <w:bottom w:val="none" w:sz="0" w:space="0" w:color="auto"/>
        <w:right w:val="none" w:sz="0" w:space="0" w:color="auto"/>
      </w:divBdr>
      <w:divsChild>
        <w:div w:id="1124806850">
          <w:marLeft w:val="0"/>
          <w:marRight w:val="0"/>
          <w:marTop w:val="0"/>
          <w:marBottom w:val="0"/>
          <w:divBdr>
            <w:top w:val="none" w:sz="0" w:space="0" w:color="auto"/>
            <w:left w:val="none" w:sz="0" w:space="0" w:color="auto"/>
            <w:bottom w:val="none" w:sz="0" w:space="0" w:color="auto"/>
            <w:right w:val="none" w:sz="0" w:space="0" w:color="auto"/>
          </w:divBdr>
          <w:divsChild>
            <w:div w:id="797800031">
              <w:marLeft w:val="0"/>
              <w:marRight w:val="0"/>
              <w:marTop w:val="0"/>
              <w:marBottom w:val="0"/>
              <w:divBdr>
                <w:top w:val="none" w:sz="0" w:space="0" w:color="auto"/>
                <w:left w:val="none" w:sz="0" w:space="0" w:color="auto"/>
                <w:bottom w:val="none" w:sz="0" w:space="0" w:color="auto"/>
                <w:right w:val="none" w:sz="0" w:space="0" w:color="auto"/>
              </w:divBdr>
            </w:div>
          </w:divsChild>
        </w:div>
        <w:div w:id="1693607790">
          <w:marLeft w:val="0"/>
          <w:marRight w:val="0"/>
          <w:marTop w:val="0"/>
          <w:marBottom w:val="0"/>
          <w:divBdr>
            <w:top w:val="none" w:sz="0" w:space="0" w:color="auto"/>
            <w:left w:val="none" w:sz="0" w:space="0" w:color="auto"/>
            <w:bottom w:val="none" w:sz="0" w:space="0" w:color="auto"/>
            <w:right w:val="none" w:sz="0" w:space="0" w:color="auto"/>
          </w:divBdr>
          <w:divsChild>
            <w:div w:id="715129450">
              <w:marLeft w:val="0"/>
              <w:marRight w:val="0"/>
              <w:marTop w:val="0"/>
              <w:marBottom w:val="0"/>
              <w:divBdr>
                <w:top w:val="none" w:sz="0" w:space="0" w:color="auto"/>
                <w:left w:val="none" w:sz="0" w:space="0" w:color="auto"/>
                <w:bottom w:val="none" w:sz="0" w:space="0" w:color="auto"/>
                <w:right w:val="none" w:sz="0" w:space="0" w:color="auto"/>
              </w:divBdr>
            </w:div>
            <w:div w:id="790704461">
              <w:marLeft w:val="0"/>
              <w:marRight w:val="0"/>
              <w:marTop w:val="0"/>
              <w:marBottom w:val="0"/>
              <w:divBdr>
                <w:top w:val="none" w:sz="0" w:space="0" w:color="auto"/>
                <w:left w:val="none" w:sz="0" w:space="0" w:color="auto"/>
                <w:bottom w:val="none" w:sz="0" w:space="0" w:color="auto"/>
                <w:right w:val="none" w:sz="0" w:space="0" w:color="auto"/>
              </w:divBdr>
            </w:div>
          </w:divsChild>
        </w:div>
        <w:div w:id="616378827">
          <w:marLeft w:val="0"/>
          <w:marRight w:val="0"/>
          <w:marTop w:val="0"/>
          <w:marBottom w:val="0"/>
          <w:divBdr>
            <w:top w:val="none" w:sz="0" w:space="0" w:color="auto"/>
            <w:left w:val="none" w:sz="0" w:space="0" w:color="auto"/>
            <w:bottom w:val="none" w:sz="0" w:space="0" w:color="auto"/>
            <w:right w:val="none" w:sz="0" w:space="0" w:color="auto"/>
          </w:divBdr>
          <w:divsChild>
            <w:div w:id="281377144">
              <w:marLeft w:val="0"/>
              <w:marRight w:val="0"/>
              <w:marTop w:val="0"/>
              <w:marBottom w:val="0"/>
              <w:divBdr>
                <w:top w:val="none" w:sz="0" w:space="0" w:color="auto"/>
                <w:left w:val="none" w:sz="0" w:space="0" w:color="auto"/>
                <w:bottom w:val="none" w:sz="0" w:space="0" w:color="auto"/>
                <w:right w:val="none" w:sz="0" w:space="0" w:color="auto"/>
              </w:divBdr>
            </w:div>
          </w:divsChild>
        </w:div>
        <w:div w:id="874348324">
          <w:marLeft w:val="0"/>
          <w:marRight w:val="0"/>
          <w:marTop w:val="0"/>
          <w:marBottom w:val="0"/>
          <w:divBdr>
            <w:top w:val="none" w:sz="0" w:space="0" w:color="auto"/>
            <w:left w:val="none" w:sz="0" w:space="0" w:color="auto"/>
            <w:bottom w:val="none" w:sz="0" w:space="0" w:color="auto"/>
            <w:right w:val="none" w:sz="0" w:space="0" w:color="auto"/>
          </w:divBdr>
          <w:divsChild>
            <w:div w:id="1184443776">
              <w:marLeft w:val="0"/>
              <w:marRight w:val="0"/>
              <w:marTop w:val="0"/>
              <w:marBottom w:val="0"/>
              <w:divBdr>
                <w:top w:val="none" w:sz="0" w:space="0" w:color="auto"/>
                <w:left w:val="none" w:sz="0" w:space="0" w:color="auto"/>
                <w:bottom w:val="none" w:sz="0" w:space="0" w:color="auto"/>
                <w:right w:val="none" w:sz="0" w:space="0" w:color="auto"/>
              </w:divBdr>
            </w:div>
            <w:div w:id="198397439">
              <w:marLeft w:val="0"/>
              <w:marRight w:val="0"/>
              <w:marTop w:val="0"/>
              <w:marBottom w:val="0"/>
              <w:divBdr>
                <w:top w:val="none" w:sz="0" w:space="0" w:color="auto"/>
                <w:left w:val="none" w:sz="0" w:space="0" w:color="auto"/>
                <w:bottom w:val="none" w:sz="0" w:space="0" w:color="auto"/>
                <w:right w:val="none" w:sz="0" w:space="0" w:color="auto"/>
              </w:divBdr>
            </w:div>
            <w:div w:id="1491486449">
              <w:marLeft w:val="0"/>
              <w:marRight w:val="0"/>
              <w:marTop w:val="0"/>
              <w:marBottom w:val="0"/>
              <w:divBdr>
                <w:top w:val="none" w:sz="0" w:space="0" w:color="auto"/>
                <w:left w:val="none" w:sz="0" w:space="0" w:color="auto"/>
                <w:bottom w:val="none" w:sz="0" w:space="0" w:color="auto"/>
                <w:right w:val="none" w:sz="0" w:space="0" w:color="auto"/>
              </w:divBdr>
            </w:div>
          </w:divsChild>
        </w:div>
        <w:div w:id="1754231797">
          <w:marLeft w:val="0"/>
          <w:marRight w:val="0"/>
          <w:marTop w:val="0"/>
          <w:marBottom w:val="0"/>
          <w:divBdr>
            <w:top w:val="none" w:sz="0" w:space="0" w:color="auto"/>
            <w:left w:val="none" w:sz="0" w:space="0" w:color="auto"/>
            <w:bottom w:val="none" w:sz="0" w:space="0" w:color="auto"/>
            <w:right w:val="none" w:sz="0" w:space="0" w:color="auto"/>
          </w:divBdr>
          <w:divsChild>
            <w:div w:id="12267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6454">
      <w:bodyDiv w:val="1"/>
      <w:marLeft w:val="0"/>
      <w:marRight w:val="0"/>
      <w:marTop w:val="0"/>
      <w:marBottom w:val="0"/>
      <w:divBdr>
        <w:top w:val="none" w:sz="0" w:space="0" w:color="auto"/>
        <w:left w:val="none" w:sz="0" w:space="0" w:color="auto"/>
        <w:bottom w:val="none" w:sz="0" w:space="0" w:color="auto"/>
        <w:right w:val="none" w:sz="0" w:space="0" w:color="auto"/>
      </w:divBdr>
    </w:div>
    <w:div w:id="1962572475">
      <w:bodyDiv w:val="1"/>
      <w:marLeft w:val="0"/>
      <w:marRight w:val="0"/>
      <w:marTop w:val="0"/>
      <w:marBottom w:val="0"/>
      <w:divBdr>
        <w:top w:val="none" w:sz="0" w:space="0" w:color="auto"/>
        <w:left w:val="none" w:sz="0" w:space="0" w:color="auto"/>
        <w:bottom w:val="none" w:sz="0" w:space="0" w:color="auto"/>
        <w:right w:val="none" w:sz="0" w:space="0" w:color="auto"/>
      </w:divBdr>
      <w:divsChild>
        <w:div w:id="349721027">
          <w:marLeft w:val="0"/>
          <w:marRight w:val="0"/>
          <w:marTop w:val="0"/>
          <w:marBottom w:val="0"/>
          <w:divBdr>
            <w:top w:val="none" w:sz="0" w:space="0" w:color="auto"/>
            <w:left w:val="none" w:sz="0" w:space="0" w:color="auto"/>
            <w:bottom w:val="none" w:sz="0" w:space="0" w:color="auto"/>
            <w:right w:val="none" w:sz="0" w:space="0" w:color="auto"/>
          </w:divBdr>
        </w:div>
        <w:div w:id="1321932419">
          <w:marLeft w:val="0"/>
          <w:marRight w:val="0"/>
          <w:marTop w:val="0"/>
          <w:marBottom w:val="0"/>
          <w:divBdr>
            <w:top w:val="none" w:sz="0" w:space="0" w:color="auto"/>
            <w:left w:val="none" w:sz="0" w:space="0" w:color="auto"/>
            <w:bottom w:val="none" w:sz="0" w:space="0" w:color="auto"/>
            <w:right w:val="none" w:sz="0" w:space="0" w:color="auto"/>
          </w:divBdr>
        </w:div>
        <w:div w:id="950933827">
          <w:marLeft w:val="0"/>
          <w:marRight w:val="0"/>
          <w:marTop w:val="0"/>
          <w:marBottom w:val="0"/>
          <w:divBdr>
            <w:top w:val="none" w:sz="0" w:space="0" w:color="auto"/>
            <w:left w:val="none" w:sz="0" w:space="0" w:color="auto"/>
            <w:bottom w:val="none" w:sz="0" w:space="0" w:color="auto"/>
            <w:right w:val="none" w:sz="0" w:space="0" w:color="auto"/>
          </w:divBdr>
        </w:div>
        <w:div w:id="791483086">
          <w:marLeft w:val="0"/>
          <w:marRight w:val="0"/>
          <w:marTop w:val="0"/>
          <w:marBottom w:val="0"/>
          <w:divBdr>
            <w:top w:val="none" w:sz="0" w:space="0" w:color="auto"/>
            <w:left w:val="none" w:sz="0" w:space="0" w:color="auto"/>
            <w:bottom w:val="none" w:sz="0" w:space="0" w:color="auto"/>
            <w:right w:val="none" w:sz="0" w:space="0" w:color="auto"/>
          </w:divBdr>
        </w:div>
        <w:div w:id="1869950224">
          <w:marLeft w:val="0"/>
          <w:marRight w:val="0"/>
          <w:marTop w:val="0"/>
          <w:marBottom w:val="0"/>
          <w:divBdr>
            <w:top w:val="none" w:sz="0" w:space="0" w:color="auto"/>
            <w:left w:val="none" w:sz="0" w:space="0" w:color="auto"/>
            <w:bottom w:val="none" w:sz="0" w:space="0" w:color="auto"/>
            <w:right w:val="none" w:sz="0" w:space="0" w:color="auto"/>
          </w:divBdr>
        </w:div>
        <w:div w:id="1582256455">
          <w:marLeft w:val="0"/>
          <w:marRight w:val="0"/>
          <w:marTop w:val="0"/>
          <w:marBottom w:val="0"/>
          <w:divBdr>
            <w:top w:val="none" w:sz="0" w:space="0" w:color="auto"/>
            <w:left w:val="none" w:sz="0" w:space="0" w:color="auto"/>
            <w:bottom w:val="none" w:sz="0" w:space="0" w:color="auto"/>
            <w:right w:val="none" w:sz="0" w:space="0" w:color="auto"/>
          </w:divBdr>
        </w:div>
        <w:div w:id="955605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pmpc.lt/kpmpc/profesinio-mokymo-kokybes-uztikrinimo-sistemu-ir-procesu-stiprinimas/" TargetMode="External"/><Relationship Id="rId13" Type="http://schemas.openxmlformats.org/officeDocument/2006/relationships/hyperlink" Target="https://www.vtmc.lt/kokybes-vadyba/" TargetMode="External"/><Relationship Id="rId18" Type="http://schemas.openxmlformats.org/officeDocument/2006/relationships/hyperlink" Target="https://www.integrra.com/edvs/subsystems/dhs/9/preview/2022/05/09/44407/index.ph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vtmc-my.sharepoint.com/:w:/g/personal/toma_grabauskaite_vtmc_lt/EbDSVShtSo1An2V5OIIyAT4BAUGKp0FZb1ui-ITlu3Sp_A?e=9nJXZU" TargetMode="External"/><Relationship Id="rId12" Type="http://schemas.openxmlformats.org/officeDocument/2006/relationships/hyperlink" Target="https://www.vtmc.lt/dokumentai/" TargetMode="External"/><Relationship Id="rId17" Type="http://schemas.openxmlformats.org/officeDocument/2006/relationships/hyperlink" Target="https://www.vtmc.lt/kokybes-vadyba/" TargetMode="External"/><Relationship Id="rId2" Type="http://schemas.openxmlformats.org/officeDocument/2006/relationships/styles" Target="styles.xml"/><Relationship Id="rId16" Type="http://schemas.openxmlformats.org/officeDocument/2006/relationships/hyperlink" Target="https://www.vtmc.lt/kokybes-vadyb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tmc.lt/kokybes-vadyb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eams.microsoft.com/l/channel/19%3A9016dfb6d7a24cb09f1d085344e5df2b%40thread.skype/tab%3A%3A233713fd-2bbd-43bf-b942-e64e5df902fb?groupId=4eba1e98-67a7-4c07-a698-f8cbc1f1108d&amp;tenantId=124f9b63-3e9a-40c9-902b-1693cc35f79a" TargetMode="External"/><Relationship Id="rId23" Type="http://schemas.openxmlformats.org/officeDocument/2006/relationships/fontTable" Target="fontTable.xml"/><Relationship Id="rId10" Type="http://schemas.openxmlformats.org/officeDocument/2006/relationships/hyperlink" Target="https://www.vtmc.lt/vakar-ir-siandien/" TargetMode="External"/><Relationship Id="rId19" Type="http://schemas.openxmlformats.org/officeDocument/2006/relationships/hyperlink" Target="mailto:toma.grabauskaite@vtmc.lt" TargetMode="External"/><Relationship Id="rId4" Type="http://schemas.openxmlformats.org/officeDocument/2006/relationships/webSettings" Target="webSettings.xml"/><Relationship Id="rId9" Type="http://schemas.openxmlformats.org/officeDocument/2006/relationships/hyperlink" Target="https://www.vtmc.lt/naujienos/informacija-del-vilniaus-technologiju-mokymo-centro-reorganizavimo/" TargetMode="External"/><Relationship Id="rId14" Type="http://schemas.openxmlformats.org/officeDocument/2006/relationships/hyperlink" Target="https://www.vtmc.lt/kokybes-vadyb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2011</Words>
  <Characters>11463</Characters>
  <Application>Microsoft Office Word</Application>
  <DocSecurity>0</DocSecurity>
  <Lines>95</Lines>
  <Paragraphs>26</Paragraphs>
  <ScaleCrop>false</ScaleCrop>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Milkinte</dc:creator>
  <cp:keywords/>
  <dc:description/>
  <cp:lastModifiedBy>Toma Grabauskaitė</cp:lastModifiedBy>
  <cp:revision>28</cp:revision>
  <dcterms:created xsi:type="dcterms:W3CDTF">2022-06-27T13:45:00Z</dcterms:created>
  <dcterms:modified xsi:type="dcterms:W3CDTF">2022-08-05T09:26:00Z</dcterms:modified>
</cp:coreProperties>
</file>